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eastAsia="方正小标宋简体"/>
          <w:sz w:val="44"/>
          <w:szCs w:val="44"/>
          <w:lang w:val="en-US" w:eastAsia="zh-CN"/>
        </w:rPr>
      </w:pPr>
      <w:r>
        <w:rPr>
          <w:rFonts w:hint="eastAsia" w:ascii="方正小标宋简体" w:hAnsi="Calibri" w:eastAsia="方正小标宋简体" w:cs="宋体"/>
          <w:bCs/>
          <w:sz w:val="44"/>
          <w:szCs w:val="44"/>
        </w:rPr>
        <w:t>丽水市地方标准《</w:t>
      </w:r>
      <w:r>
        <w:rPr>
          <w:rFonts w:hint="eastAsia" w:eastAsia="方正小标宋简体"/>
          <w:sz w:val="44"/>
          <w:szCs w:val="44"/>
          <w:lang w:val="en-US" w:eastAsia="zh-CN"/>
        </w:rPr>
        <w:t>生态环境质量综合指数</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方正小标宋简体" w:hAnsi="Calibri" w:eastAsia="方正小标宋简体" w:cs="宋体"/>
          <w:bCs/>
          <w:sz w:val="44"/>
          <w:szCs w:val="44"/>
        </w:rPr>
      </w:pPr>
      <w:r>
        <w:rPr>
          <w:rFonts w:hint="eastAsia" w:eastAsia="方正小标宋简体"/>
          <w:sz w:val="44"/>
          <w:szCs w:val="44"/>
          <w:lang w:val="en-US" w:eastAsia="zh-CN"/>
        </w:rPr>
        <w:t>（EQCI）技术规定</w:t>
      </w:r>
      <w:r>
        <w:rPr>
          <w:rFonts w:hint="eastAsia" w:ascii="方正小标宋简体" w:hAnsi="Calibri" w:eastAsia="方正小标宋简体" w:cs="宋体"/>
          <w:bCs/>
          <w:sz w:val="44"/>
          <w:szCs w:val="44"/>
        </w:rPr>
        <w:t>》编制说明</w:t>
      </w:r>
    </w:p>
    <w:p>
      <w:pPr>
        <w:pStyle w:val="20"/>
        <w:numPr>
          <w:ilvl w:val="0"/>
          <w:numId w:val="1"/>
        </w:numPr>
        <w:ind w:firstLineChars="0"/>
        <w:outlineLvl w:val="0"/>
        <w:rPr>
          <w:rFonts w:ascii="黑体" w:hAnsi="黑体" w:eastAsia="黑体" w:cs="宋体"/>
          <w:bCs/>
          <w:sz w:val="32"/>
          <w:szCs w:val="32"/>
        </w:rPr>
      </w:pPr>
      <w:r>
        <w:rPr>
          <w:rFonts w:ascii="黑体" w:hAnsi="黑体" w:eastAsia="黑体" w:cs="宋体"/>
          <w:bCs/>
          <w:sz w:val="32"/>
          <w:szCs w:val="32"/>
        </w:rPr>
        <w:t>项目背景</w:t>
      </w:r>
    </w:p>
    <w:p>
      <w:pPr>
        <w:pStyle w:val="20"/>
        <w:numPr>
          <w:ilvl w:val="0"/>
          <w:numId w:val="2"/>
        </w:numPr>
        <w:ind w:firstLineChars="0"/>
        <w:outlineLvl w:val="1"/>
        <w:rPr>
          <w:rFonts w:ascii="黑体" w:hAnsi="黑体" w:eastAsia="黑体" w:cs="宋体"/>
          <w:bCs/>
          <w:sz w:val="32"/>
          <w:szCs w:val="32"/>
        </w:rPr>
      </w:pPr>
      <w:r>
        <w:rPr>
          <w:rFonts w:hint="eastAsia" w:ascii="黑体" w:hAnsi="黑体" w:eastAsia="黑体" w:cs="宋体"/>
          <w:bCs/>
          <w:sz w:val="32"/>
          <w:szCs w:val="32"/>
        </w:rPr>
        <w:t>基本情况</w:t>
      </w:r>
    </w:p>
    <w:p>
      <w:pPr>
        <w:ind w:firstLine="640"/>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丽水是习近平总书记“绿水青山就是金山银山”理念的重要萌发地和先行实践地。丽水市委市政府《新时代高水平建设美丽丽水规划纲要（2020—2035年）》明确要重点构建五个区：美丽中国先行示范区、全国生态产品价值实现机制示范区、中国碳中和先行区、全国生物多样性保护引领区、全国生态环境健康管理创新区。丽水作为美丽中国先行区，理应为全国美丽中国成效评估作出自己的贡献，应率先对开展美丽中国成效评价体系的探索，编制生态环境质量综合评价体系，满足丽水地方自然条件需要统一规范，满足本市生态文明建设的需要，建立自己的生态环境质量评价体系。</w:t>
      </w:r>
    </w:p>
    <w:p>
      <w:pPr>
        <w:ind w:firstLine="640"/>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本标准由丽水市生态环境局提出并归口，浙江省丽水生态环境监测中心、中国环境监测总站、浙江省生态环境监测中心、浙江省环保集团有限公司联合起草。</w:t>
      </w:r>
    </w:p>
    <w:p>
      <w:pPr>
        <w:ind w:firstLine="640"/>
        <w:rPr>
          <w:rFonts w:hint="default"/>
          <w:lang w:val="en-US" w:eastAsia="zh-CN"/>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标准定位国内首个针对县级及以上区域生态环境质量综合评价的地方标准</w:t>
      </w:r>
      <w:r>
        <w:rPr>
          <w:rFonts w:hint="eastAsia" w:ascii="Times New Roman" w:hAnsi="Times New Roman" w:eastAsia="仿宋_GB2312" w:cs="Times New Roman"/>
          <w:bCs w:val="0"/>
          <w:i w:val="0"/>
          <w:iCs w:val="0"/>
          <w:caps w:val="0"/>
          <w:color w:val="auto"/>
          <w:spacing w:val="0"/>
          <w:kern w:val="2"/>
          <w:sz w:val="32"/>
          <w:szCs w:val="32"/>
          <w:lang w:val="en-US" w:eastAsia="zh-CN" w:bidi="ar-SA"/>
        </w:rPr>
        <w:t>；</w:t>
      </w:r>
      <w:r>
        <w:rPr>
          <w:rFonts w:hint="default" w:ascii="Times New Roman" w:hAnsi="Times New Roman" w:eastAsia="仿宋_GB2312" w:cs="Times New Roman"/>
          <w:bCs w:val="0"/>
          <w:i w:val="0"/>
          <w:iCs w:val="0"/>
          <w:caps w:val="0"/>
          <w:color w:val="auto"/>
          <w:spacing w:val="0"/>
          <w:kern w:val="2"/>
          <w:sz w:val="32"/>
          <w:szCs w:val="32"/>
          <w:lang w:val="en-US" w:eastAsia="zh-CN" w:bidi="ar-SA"/>
        </w:rPr>
        <w:t>融合生态质量、环境质量、绿色低碳三维评价体系</w:t>
      </w:r>
      <w:r>
        <w:rPr>
          <w:rFonts w:hint="eastAsia" w:ascii="Times New Roman" w:hAnsi="Times New Roman" w:eastAsia="仿宋_GB2312" w:cs="Times New Roman"/>
          <w:bCs w:val="0"/>
          <w:i w:val="0"/>
          <w:iCs w:val="0"/>
          <w:caps w:val="0"/>
          <w:color w:val="auto"/>
          <w:spacing w:val="0"/>
          <w:kern w:val="2"/>
          <w:sz w:val="32"/>
          <w:szCs w:val="32"/>
          <w:lang w:val="en-US" w:eastAsia="zh-CN" w:bidi="ar-SA"/>
        </w:rPr>
        <w:t>；</w:t>
      </w:r>
      <w:r>
        <w:rPr>
          <w:rFonts w:hint="default" w:ascii="Times New Roman" w:hAnsi="Times New Roman" w:eastAsia="仿宋_GB2312" w:cs="Times New Roman"/>
          <w:bCs w:val="0"/>
          <w:i w:val="0"/>
          <w:iCs w:val="0"/>
          <w:caps w:val="0"/>
          <w:color w:val="auto"/>
          <w:spacing w:val="0"/>
          <w:kern w:val="2"/>
          <w:sz w:val="32"/>
          <w:szCs w:val="32"/>
          <w:lang w:val="en-US" w:eastAsia="zh-CN" w:bidi="ar-SA"/>
        </w:rPr>
        <w:t>突出丽水市"中国生态第一市"特色指标</w:t>
      </w:r>
      <w:r>
        <w:rPr>
          <w:rFonts w:hint="eastAsia" w:ascii="Times New Roman" w:hAnsi="Times New Roman" w:eastAsia="仿宋_GB2312" w:cs="Times New Roman"/>
          <w:bCs w:val="0"/>
          <w:i w:val="0"/>
          <w:iCs w:val="0"/>
          <w:caps w:val="0"/>
          <w:color w:val="auto"/>
          <w:spacing w:val="0"/>
          <w:kern w:val="2"/>
          <w:sz w:val="32"/>
          <w:szCs w:val="32"/>
          <w:lang w:val="en-US" w:eastAsia="zh-CN" w:bidi="ar-SA"/>
        </w:rPr>
        <w:t>。</w:t>
      </w:r>
    </w:p>
    <w:p>
      <w:pPr>
        <w:pStyle w:val="20"/>
        <w:numPr>
          <w:ilvl w:val="0"/>
          <w:numId w:val="2"/>
        </w:numPr>
        <w:ind w:firstLineChars="0"/>
        <w:outlineLvl w:val="1"/>
        <w:rPr>
          <w:rFonts w:ascii="黑体" w:hAnsi="黑体" w:eastAsia="黑体" w:cs="宋体"/>
          <w:bCs/>
          <w:sz w:val="32"/>
          <w:szCs w:val="32"/>
        </w:rPr>
      </w:pPr>
      <w:r>
        <w:rPr>
          <w:rFonts w:hint="eastAsia" w:ascii="黑体" w:hAnsi="黑体" w:eastAsia="黑体" w:cs="宋体"/>
          <w:bCs/>
          <w:sz w:val="32"/>
          <w:szCs w:val="32"/>
        </w:rPr>
        <w:t>必要性及目的意义</w:t>
      </w:r>
    </w:p>
    <w:p>
      <w:pPr>
        <w:ind w:firstLine="640" w:firstLineChars="200"/>
        <w:rPr>
          <w:rFonts w:hint="eastAsia" w:ascii="仿宋_GB2312" w:hAnsi="仿宋" w:eastAsia="仿宋_GB2312" w:cs="Calibri"/>
          <w:sz w:val="32"/>
          <w:szCs w:val="32"/>
          <w:lang w:val="en-US" w:eastAsia="zh-CN"/>
        </w:rPr>
      </w:pPr>
      <w:r>
        <w:rPr>
          <w:rFonts w:hint="eastAsia" w:ascii="仿宋_GB2312" w:hAnsi="仿宋" w:eastAsia="仿宋_GB2312" w:cs="Calibri"/>
          <w:sz w:val="32"/>
          <w:szCs w:val="32"/>
          <w:lang w:val="en-US" w:eastAsia="zh-CN"/>
        </w:rPr>
        <w:t>1.项目必要性</w:t>
      </w:r>
    </w:p>
    <w:p>
      <w:pPr>
        <w:ind w:firstLine="640" w:firstLineChars="200"/>
        <w:rPr>
          <w:rFonts w:hint="eastAsia"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制定生态环境质量综合指数技术规定可强化生态环境监测数据综合评价，健全生态环境监测评价、排名、预警和公开制度，改进空气、地表水等环境质量评价排名技术规定，体现了科学发展的要求，强化了地方党政领导追求绿色发展的理念。</w:t>
      </w:r>
    </w:p>
    <w:p>
      <w:pPr>
        <w:ind w:firstLine="640" w:firstLineChars="200"/>
        <w:rPr>
          <w:rFonts w:hint="eastAsia"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目前，我国用于环境质量评价的指数主要有：空气质量综合评价指数、城市水质综合指数、生态质量指数等，以单一指数和单要素指数为主</w:t>
      </w: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。部分综合评价指标难以测量、无相关数据，难以实施，不能全面</w:t>
      </w: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反映生态环境质量。丽水市生态环境质量良好，目前以水、气等单一指数评价生态环境质量缺少全面性，无法全面反映丽水良好的生态环境，制定生态环境质量</w:t>
      </w:r>
      <w:r>
        <w:rPr>
          <w:rFonts w:hint="eastAsia" w:cs="Times New Roman"/>
          <w:b w:val="0"/>
          <w:bCs w:val="0"/>
          <w:i w:val="0"/>
          <w:iCs w:val="0"/>
          <w:caps w:val="0"/>
          <w:color w:val="auto"/>
          <w:spacing w:val="0"/>
          <w:kern w:val="2"/>
          <w:sz w:val="32"/>
          <w:szCs w:val="32"/>
          <w:lang w:val="en-US" w:eastAsia="zh-CN" w:bidi="ar-SA"/>
        </w:rPr>
        <w:t>综合指数技术规定</w:t>
      </w: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具有重要的现实意义和理论意义。</w:t>
      </w:r>
    </w:p>
    <w:p>
      <w:pPr>
        <w:ind w:firstLine="640" w:firstLineChars="200"/>
        <w:rPr>
          <w:rFonts w:hint="eastAsia" w:ascii="仿宋_GB2312" w:hAnsi="仿宋" w:eastAsia="仿宋_GB2312" w:cs="Calibri"/>
          <w:sz w:val="32"/>
          <w:szCs w:val="32"/>
          <w:lang w:val="en-US" w:eastAsia="zh-CN"/>
        </w:rPr>
      </w:pPr>
      <w:r>
        <w:rPr>
          <w:rFonts w:hint="eastAsia" w:ascii="仿宋_GB2312" w:hAnsi="仿宋" w:eastAsia="仿宋_GB2312" w:cs="Calibri"/>
          <w:sz w:val="32"/>
          <w:szCs w:val="32"/>
          <w:lang w:val="en-US" w:eastAsia="zh-CN"/>
        </w:rPr>
        <w:t>2.项目意义</w:t>
      </w:r>
    </w:p>
    <w:p>
      <w:pPr>
        <w:ind w:firstLine="640" w:firstLineChars="200"/>
        <w:rPr>
          <w:rFonts w:hint="eastAsia"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一是强化了地方党政领导追求绿色发展的理念，促进生态环境质量的提升，可增加绿色奖补资金。</w:t>
      </w:r>
    </w:p>
    <w:p>
      <w:pPr>
        <w:ind w:firstLine="640" w:firstLineChars="200"/>
        <w:rPr>
          <w:rFonts w:hint="eastAsia"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二是可科学对市域内的生态环境质量进行评价，对美丽丽水区域经济发展和可持续发展有着极大的推进作用。</w:t>
      </w:r>
    </w:p>
    <w:p>
      <w:pPr>
        <w:ind w:firstLine="640" w:firstLineChars="200"/>
        <w:rPr>
          <w:rFonts w:hint="default"/>
          <w:lang w:val="en-US" w:eastAsia="zh-CN"/>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三是践行</w:t>
      </w:r>
      <w:bookmarkStart w:id="0" w:name="OLE_LINK1"/>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习近平总书记</w:t>
      </w:r>
      <w:bookmarkEnd w:id="0"/>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提出的“绿水青山就是金山银山”理论的重要体现，可以更有效地落实绿色发展理念，促进地区的可持续发展，促进美丽丽水的建设，进一步提升全民生态文明水平。</w:t>
      </w:r>
    </w:p>
    <w:p>
      <w:pPr>
        <w:ind w:firstLine="640" w:firstLineChars="200"/>
        <w:rPr>
          <w:rFonts w:ascii="黑体" w:hAnsi="黑体" w:eastAsia="黑体" w:cs="宋体"/>
          <w:bCs/>
          <w:sz w:val="32"/>
          <w:szCs w:val="32"/>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因此，《</w:t>
      </w: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生态</w:t>
      </w: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环境质量综合指数（EQCI）技术规定》的制定是一项具有深远意义的工作，对推动丽水在跨越式高质量发展、高水平保护、高品质生活、高效能治理等方面走在全国前列发挥要作用，为国家生态环境管理提供丽水经验、丽水样板。</w:t>
      </w:r>
    </w:p>
    <w:p>
      <w:pPr>
        <w:pStyle w:val="20"/>
        <w:numPr>
          <w:ilvl w:val="0"/>
          <w:numId w:val="1"/>
        </w:numPr>
        <w:ind w:firstLineChars="0"/>
        <w:outlineLvl w:val="0"/>
        <w:rPr>
          <w:rFonts w:ascii="黑体" w:hAnsi="黑体" w:eastAsia="黑体" w:cs="宋体"/>
          <w:bCs/>
          <w:sz w:val="32"/>
          <w:szCs w:val="32"/>
        </w:rPr>
      </w:pPr>
      <w:r>
        <w:rPr>
          <w:rFonts w:hint="eastAsia" w:ascii="黑体" w:hAnsi="黑体" w:eastAsia="黑体" w:cs="宋体"/>
          <w:bCs/>
          <w:sz w:val="32"/>
          <w:szCs w:val="32"/>
        </w:rPr>
        <w:t>工作简况</w:t>
      </w:r>
    </w:p>
    <w:p>
      <w:pPr>
        <w:pStyle w:val="20"/>
        <w:numPr>
          <w:ilvl w:val="0"/>
          <w:numId w:val="3"/>
        </w:numPr>
        <w:ind w:firstLineChars="0"/>
        <w:outlineLvl w:val="0"/>
        <w:rPr>
          <w:rFonts w:ascii="黑体" w:hAnsi="黑体" w:eastAsia="黑体" w:cs="宋体"/>
          <w:bCs/>
          <w:sz w:val="32"/>
          <w:szCs w:val="32"/>
        </w:rPr>
      </w:pPr>
      <w:r>
        <w:rPr>
          <w:rFonts w:hint="eastAsia" w:ascii="黑体" w:hAnsi="黑体" w:eastAsia="黑体" w:cs="宋体"/>
          <w:bCs/>
          <w:sz w:val="32"/>
          <w:szCs w:val="32"/>
        </w:rPr>
        <w:t>任务来源</w:t>
      </w:r>
    </w:p>
    <w:p>
      <w:pPr>
        <w:ind w:firstLine="640"/>
        <w:rPr>
          <w:rFonts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任务来源于丽水市市场监督管理局《丽水市市场监督管理局</w:t>
      </w:r>
      <w:r>
        <w:rPr>
          <w:rFonts w:hint="eastAsia" w:ascii="Times New Roman" w:hAnsi="Times New Roman" w:eastAsia="仿宋_GB2312" w:cs="Times New Roman"/>
          <w:bCs w:val="0"/>
          <w:i w:val="0"/>
          <w:iCs w:val="0"/>
          <w:caps w:val="0"/>
          <w:color w:val="auto"/>
          <w:spacing w:val="0"/>
          <w:kern w:val="2"/>
          <w:sz w:val="32"/>
          <w:szCs w:val="32"/>
          <w:lang w:val="en-US" w:eastAsia="zh-CN" w:bidi="ar-SA"/>
        </w:rPr>
        <w:t>关于开展2024年度丽水市地方标准制（修）订计划项目建议征集工作的通知</w:t>
      </w:r>
      <w:r>
        <w:rPr>
          <w:rFonts w:ascii="Times New Roman" w:hAnsi="Times New Roman" w:eastAsia="仿宋_GB2312" w:cs="Times New Roman"/>
          <w:bCs w:val="0"/>
          <w:i w:val="0"/>
          <w:iCs w:val="0"/>
          <w:caps w:val="0"/>
          <w:color w:val="auto"/>
          <w:spacing w:val="0"/>
          <w:kern w:val="2"/>
          <w:sz w:val="32"/>
          <w:szCs w:val="32"/>
          <w:lang w:val="en-US" w:eastAsia="zh-CN" w:bidi="ar-SA"/>
        </w:rPr>
        <w:t>》（丽市监〔202</w:t>
      </w:r>
      <w:r>
        <w:rPr>
          <w:rFonts w:hint="eastAsia" w:ascii="Times New Roman" w:hAnsi="Times New Roman" w:eastAsia="仿宋_GB2312" w:cs="Times New Roman"/>
          <w:bCs w:val="0"/>
          <w:i w:val="0"/>
          <w:iCs w:val="0"/>
          <w:caps w:val="0"/>
          <w:color w:val="auto"/>
          <w:spacing w:val="0"/>
          <w:kern w:val="2"/>
          <w:sz w:val="32"/>
          <w:szCs w:val="32"/>
          <w:lang w:val="en-US" w:eastAsia="zh-CN" w:bidi="ar-SA"/>
        </w:rPr>
        <w:t>4</w:t>
      </w:r>
      <w:r>
        <w:rPr>
          <w:rFonts w:ascii="Times New Roman" w:hAnsi="Times New Roman" w:eastAsia="仿宋_GB2312" w:cs="Times New Roman"/>
          <w:bCs w:val="0"/>
          <w:i w:val="0"/>
          <w:iCs w:val="0"/>
          <w:caps w:val="0"/>
          <w:color w:val="auto"/>
          <w:spacing w:val="0"/>
          <w:kern w:val="2"/>
          <w:sz w:val="32"/>
          <w:szCs w:val="32"/>
          <w:lang w:val="en-US" w:eastAsia="zh-CN" w:bidi="ar-SA"/>
        </w:rPr>
        <w:t>〕</w:t>
      </w:r>
      <w:r>
        <w:rPr>
          <w:rFonts w:hint="eastAsia" w:ascii="Times New Roman" w:hAnsi="Times New Roman" w:eastAsia="仿宋_GB2312" w:cs="Times New Roman"/>
          <w:bCs w:val="0"/>
          <w:i w:val="0"/>
          <w:iCs w:val="0"/>
          <w:caps w:val="0"/>
          <w:color w:val="auto"/>
          <w:spacing w:val="0"/>
          <w:kern w:val="2"/>
          <w:sz w:val="32"/>
          <w:szCs w:val="32"/>
          <w:lang w:val="en-US" w:eastAsia="zh-CN" w:bidi="ar-SA"/>
        </w:rPr>
        <w:t>7</w:t>
      </w:r>
      <w:r>
        <w:rPr>
          <w:rFonts w:ascii="Times New Roman" w:hAnsi="Times New Roman" w:eastAsia="仿宋_GB2312" w:cs="Times New Roman"/>
          <w:bCs w:val="0"/>
          <w:i w:val="0"/>
          <w:iCs w:val="0"/>
          <w:caps w:val="0"/>
          <w:color w:val="auto"/>
          <w:spacing w:val="0"/>
          <w:kern w:val="2"/>
          <w:sz w:val="32"/>
          <w:szCs w:val="32"/>
          <w:lang w:val="en-US" w:eastAsia="zh-CN" w:bidi="ar-SA"/>
        </w:rPr>
        <w:t>号）。</w:t>
      </w:r>
    </w:p>
    <w:p>
      <w:pPr>
        <w:pStyle w:val="20"/>
        <w:numPr>
          <w:ilvl w:val="0"/>
          <w:numId w:val="3"/>
        </w:numPr>
        <w:ind w:firstLineChars="0"/>
        <w:outlineLvl w:val="0"/>
        <w:rPr>
          <w:rFonts w:ascii="黑体" w:hAnsi="黑体" w:eastAsia="黑体" w:cs="宋体"/>
          <w:bCs/>
          <w:sz w:val="32"/>
          <w:szCs w:val="32"/>
        </w:rPr>
      </w:pPr>
      <w:r>
        <w:rPr>
          <w:rFonts w:hint="eastAsia" w:ascii="黑体" w:hAnsi="黑体" w:eastAsia="黑体" w:cs="宋体"/>
          <w:bCs/>
          <w:sz w:val="32"/>
          <w:szCs w:val="32"/>
        </w:rPr>
        <w:t>工作计划</w:t>
      </w:r>
    </w:p>
    <w:p>
      <w:pPr>
        <w:ind w:firstLine="640"/>
        <w:rPr>
          <w:rFonts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2024年1月-2024年2月：</w:t>
      </w:r>
      <w:r>
        <w:rPr>
          <w:rFonts w:ascii="Times New Roman" w:hAnsi="Times New Roman" w:eastAsia="仿宋_GB2312" w:cs="Times New Roman"/>
          <w:bCs w:val="0"/>
          <w:i w:val="0"/>
          <w:iCs w:val="0"/>
          <w:caps w:val="0"/>
          <w:color w:val="auto"/>
          <w:spacing w:val="0"/>
          <w:kern w:val="2"/>
          <w:sz w:val="32"/>
          <w:szCs w:val="32"/>
          <w:lang w:val="en-US" w:eastAsia="zh-CN" w:bidi="ar-SA"/>
        </w:rPr>
        <w:t>项目调研。合理组建标准起草组，充分了解项目背景情况、制定标准的必要性、可行性、实施后的影响等。</w:t>
      </w:r>
    </w:p>
    <w:p>
      <w:pPr>
        <w:ind w:firstLine="640"/>
        <w:rPr>
          <w:rFonts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2024年3月-2024年4月：</w:t>
      </w:r>
      <w:r>
        <w:rPr>
          <w:rFonts w:ascii="Times New Roman" w:hAnsi="Times New Roman" w:eastAsia="仿宋_GB2312" w:cs="Times New Roman"/>
          <w:bCs w:val="0"/>
          <w:i w:val="0"/>
          <w:iCs w:val="0"/>
          <w:caps w:val="0"/>
          <w:color w:val="auto"/>
          <w:spacing w:val="0"/>
          <w:kern w:val="2"/>
          <w:sz w:val="32"/>
          <w:szCs w:val="32"/>
          <w:lang w:val="en-US" w:eastAsia="zh-CN" w:bidi="ar-SA"/>
        </w:rPr>
        <w:t>立项阶段。完成标准草案、项目建议书，依据市地方标准制（修）订计划项目建议征集工作通知申报标准立项；参与立项答辩。</w:t>
      </w:r>
    </w:p>
    <w:p>
      <w:pPr>
        <w:ind w:firstLine="640"/>
        <w:rPr>
          <w:rFonts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2024年5月-2024年7月：</w:t>
      </w:r>
      <w:r>
        <w:rPr>
          <w:rFonts w:ascii="Times New Roman" w:hAnsi="Times New Roman" w:eastAsia="仿宋_GB2312" w:cs="Times New Roman"/>
          <w:bCs w:val="0"/>
          <w:i w:val="0"/>
          <w:iCs w:val="0"/>
          <w:caps w:val="0"/>
          <w:color w:val="auto"/>
          <w:spacing w:val="0"/>
          <w:kern w:val="2"/>
          <w:sz w:val="32"/>
          <w:szCs w:val="32"/>
          <w:lang w:val="en-US" w:eastAsia="zh-CN" w:bidi="ar-SA"/>
        </w:rPr>
        <w:t>标准研制。标准获立项后进行调研，对标准草案进行修改完善，完成标准征求意见稿。</w:t>
      </w:r>
    </w:p>
    <w:p>
      <w:pPr>
        <w:ind w:firstLine="64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2024年8月-2024年12月：</w:t>
      </w:r>
      <w:r>
        <w:rPr>
          <w:rFonts w:ascii="Times New Roman" w:hAnsi="Times New Roman" w:eastAsia="仿宋_GB2312" w:cs="Times New Roman"/>
          <w:bCs w:val="0"/>
          <w:i w:val="0"/>
          <w:iCs w:val="0"/>
          <w:caps w:val="0"/>
          <w:color w:val="auto"/>
          <w:spacing w:val="0"/>
          <w:kern w:val="2"/>
          <w:sz w:val="32"/>
          <w:szCs w:val="32"/>
          <w:lang w:val="en-US" w:eastAsia="zh-CN" w:bidi="ar-SA"/>
        </w:rPr>
        <w:t>征求意见。将完成的标准征求意见稿、编制说明公开征求</w:t>
      </w:r>
      <w:r>
        <w:rPr>
          <w:rFonts w:hint="eastAsia" w:ascii="Times New Roman" w:hAnsi="Times New Roman" w:eastAsia="仿宋_GB2312" w:cs="Times New Roman"/>
          <w:bCs w:val="0"/>
          <w:i w:val="0"/>
          <w:iCs w:val="0"/>
          <w:caps w:val="0"/>
          <w:color w:val="auto"/>
          <w:spacing w:val="0"/>
          <w:kern w:val="2"/>
          <w:sz w:val="32"/>
          <w:szCs w:val="32"/>
          <w:lang w:val="en-US" w:eastAsia="zh-CN" w:bidi="ar-SA"/>
        </w:rPr>
        <w:t>社会公众和部门</w:t>
      </w:r>
      <w:r>
        <w:rPr>
          <w:rFonts w:ascii="Times New Roman" w:hAnsi="Times New Roman" w:eastAsia="仿宋_GB2312" w:cs="Times New Roman"/>
          <w:bCs w:val="0"/>
          <w:i w:val="0"/>
          <w:iCs w:val="0"/>
          <w:caps w:val="0"/>
          <w:color w:val="auto"/>
          <w:spacing w:val="0"/>
          <w:kern w:val="2"/>
          <w:sz w:val="32"/>
          <w:szCs w:val="32"/>
          <w:lang w:val="en-US" w:eastAsia="zh-CN" w:bidi="ar-SA"/>
        </w:rPr>
        <w:t>意见；组织专家研讨</w:t>
      </w:r>
      <w:r>
        <w:rPr>
          <w:rFonts w:hint="eastAsia" w:ascii="Times New Roman" w:hAnsi="Times New Roman" w:eastAsia="仿宋_GB2312" w:cs="Times New Roman"/>
          <w:bCs w:val="0"/>
          <w:i w:val="0"/>
          <w:iCs w:val="0"/>
          <w:caps w:val="0"/>
          <w:color w:val="auto"/>
          <w:spacing w:val="0"/>
          <w:kern w:val="2"/>
          <w:sz w:val="32"/>
          <w:szCs w:val="32"/>
          <w:lang w:val="en-US" w:eastAsia="zh-CN" w:bidi="ar-SA"/>
        </w:rPr>
        <w:t>会</w:t>
      </w:r>
      <w:r>
        <w:rPr>
          <w:rFonts w:ascii="Times New Roman" w:hAnsi="Times New Roman" w:eastAsia="仿宋_GB2312" w:cs="Times New Roman"/>
          <w:bCs w:val="0"/>
          <w:i w:val="0"/>
          <w:iCs w:val="0"/>
          <w:caps w:val="0"/>
          <w:color w:val="auto"/>
          <w:spacing w:val="0"/>
          <w:kern w:val="2"/>
          <w:sz w:val="32"/>
          <w:szCs w:val="32"/>
          <w:lang w:val="en-US" w:eastAsia="zh-CN" w:bidi="ar-SA"/>
        </w:rPr>
        <w:t>。</w:t>
      </w:r>
    </w:p>
    <w:p>
      <w:pPr>
        <w:ind w:firstLine="640"/>
        <w:rPr>
          <w:rFonts w:ascii="Times New Roman" w:hAnsi="Times New Roman" w:eastAsia="仿宋_GB2312" w:cs="Times New Roman"/>
          <w:bCs w:val="0"/>
          <w:i w:val="0"/>
          <w:iCs w:val="0"/>
          <w:caps w:val="0"/>
          <w:color w:val="auto"/>
          <w:spacing w:val="0"/>
          <w:kern w:val="2"/>
          <w:sz w:val="32"/>
          <w:szCs w:val="32"/>
          <w:lang w:val="en-US" w:eastAsia="zh-CN" w:bidi="ar-SA"/>
        </w:rPr>
      </w:pPr>
      <w:r>
        <w:rPr>
          <w:rFonts w:ascii="Times New Roman" w:hAnsi="Times New Roman" w:eastAsia="仿宋_GB2312" w:cs="Times New Roman"/>
          <w:bCs w:val="0"/>
          <w:i w:val="0"/>
          <w:iCs w:val="0"/>
          <w:caps w:val="0"/>
          <w:color w:val="auto"/>
          <w:spacing w:val="0"/>
          <w:kern w:val="2"/>
          <w:sz w:val="32"/>
          <w:szCs w:val="32"/>
          <w:lang w:val="en-US" w:eastAsia="zh-CN" w:bidi="ar-SA"/>
        </w:rPr>
        <w:t>202</w:t>
      </w:r>
      <w:r>
        <w:rPr>
          <w:rFonts w:hint="eastAsia" w:ascii="Times New Roman" w:hAnsi="Times New Roman" w:eastAsia="仿宋_GB2312" w:cs="Times New Roman"/>
          <w:bCs w:val="0"/>
          <w:i w:val="0"/>
          <w:iCs w:val="0"/>
          <w:caps w:val="0"/>
          <w:color w:val="auto"/>
          <w:spacing w:val="0"/>
          <w:kern w:val="2"/>
          <w:sz w:val="32"/>
          <w:szCs w:val="32"/>
          <w:lang w:val="en-US" w:eastAsia="zh-CN" w:bidi="ar-SA"/>
        </w:rPr>
        <w:t>5年2</w:t>
      </w:r>
      <w:r>
        <w:rPr>
          <w:rFonts w:ascii="Times New Roman" w:hAnsi="Times New Roman" w:eastAsia="仿宋_GB2312" w:cs="Times New Roman"/>
          <w:bCs w:val="0"/>
          <w:i w:val="0"/>
          <w:iCs w:val="0"/>
          <w:caps w:val="0"/>
          <w:color w:val="auto"/>
          <w:spacing w:val="0"/>
          <w:kern w:val="2"/>
          <w:sz w:val="32"/>
          <w:szCs w:val="32"/>
          <w:lang w:val="en-US" w:eastAsia="zh-CN" w:bidi="ar-SA"/>
        </w:rPr>
        <w:t>月：</w:t>
      </w:r>
      <w:r>
        <w:rPr>
          <w:rFonts w:hint="eastAsia" w:ascii="Times New Roman" w:hAnsi="Times New Roman" w:eastAsia="仿宋_GB2312" w:cs="Times New Roman"/>
          <w:bCs w:val="0"/>
          <w:i w:val="0"/>
          <w:iCs w:val="0"/>
          <w:caps w:val="0"/>
          <w:color w:val="auto"/>
          <w:spacing w:val="0"/>
          <w:kern w:val="2"/>
          <w:sz w:val="32"/>
          <w:szCs w:val="32"/>
          <w:lang w:val="en-US" w:eastAsia="zh-CN" w:bidi="ar-SA"/>
        </w:rPr>
        <w:t>预审</w:t>
      </w:r>
      <w:r>
        <w:rPr>
          <w:rFonts w:ascii="Times New Roman" w:hAnsi="Times New Roman" w:eastAsia="仿宋_GB2312" w:cs="Times New Roman"/>
          <w:bCs w:val="0"/>
          <w:i w:val="0"/>
          <w:iCs w:val="0"/>
          <w:caps w:val="0"/>
          <w:color w:val="auto"/>
          <w:spacing w:val="0"/>
          <w:kern w:val="2"/>
          <w:sz w:val="32"/>
          <w:szCs w:val="32"/>
          <w:lang w:val="en-US" w:eastAsia="zh-CN" w:bidi="ar-SA"/>
        </w:rPr>
        <w:t>阶段。完成标准送审稿报送市市场监督管理局，待其组织</w:t>
      </w:r>
      <w:r>
        <w:rPr>
          <w:rFonts w:hint="eastAsia" w:ascii="Times New Roman" w:hAnsi="Times New Roman" w:eastAsia="仿宋_GB2312" w:cs="Times New Roman"/>
          <w:bCs w:val="0"/>
          <w:i w:val="0"/>
          <w:iCs w:val="0"/>
          <w:caps w:val="0"/>
          <w:color w:val="auto"/>
          <w:spacing w:val="0"/>
          <w:kern w:val="2"/>
          <w:sz w:val="32"/>
          <w:szCs w:val="32"/>
          <w:lang w:val="en-US" w:eastAsia="zh-CN" w:bidi="ar-SA"/>
        </w:rPr>
        <w:t>预审</w:t>
      </w:r>
      <w:r>
        <w:rPr>
          <w:rFonts w:ascii="Times New Roman" w:hAnsi="Times New Roman" w:eastAsia="仿宋_GB2312" w:cs="Times New Roman"/>
          <w:bCs w:val="0"/>
          <w:i w:val="0"/>
          <w:iCs w:val="0"/>
          <w:caps w:val="0"/>
          <w:color w:val="auto"/>
          <w:spacing w:val="0"/>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黑体" w:hAnsi="黑体" w:eastAsia="黑体" w:cs="宋体"/>
          <w:bCs/>
          <w:sz w:val="32"/>
          <w:szCs w:val="32"/>
        </w:rPr>
      </w:pPr>
      <w:r>
        <w:rPr>
          <w:rFonts w:ascii="Times New Roman" w:hAnsi="Times New Roman" w:eastAsia="仿宋_GB2312" w:cs="Times New Roman"/>
          <w:bCs w:val="0"/>
          <w:i w:val="0"/>
          <w:iCs w:val="0"/>
          <w:caps w:val="0"/>
          <w:color w:val="auto"/>
          <w:spacing w:val="0"/>
          <w:kern w:val="2"/>
          <w:sz w:val="32"/>
          <w:szCs w:val="32"/>
          <w:lang w:val="en-US" w:eastAsia="zh-CN" w:bidi="ar-SA"/>
        </w:rPr>
        <w:t>202</w:t>
      </w:r>
      <w:r>
        <w:rPr>
          <w:rFonts w:hint="eastAsia" w:ascii="Times New Roman" w:hAnsi="Times New Roman" w:eastAsia="仿宋_GB2312" w:cs="Times New Roman"/>
          <w:bCs w:val="0"/>
          <w:i w:val="0"/>
          <w:iCs w:val="0"/>
          <w:caps w:val="0"/>
          <w:color w:val="auto"/>
          <w:spacing w:val="0"/>
          <w:kern w:val="2"/>
          <w:sz w:val="32"/>
          <w:szCs w:val="32"/>
          <w:lang w:val="en-US" w:eastAsia="zh-CN" w:bidi="ar-SA"/>
        </w:rPr>
        <w:t>5</w:t>
      </w:r>
      <w:r>
        <w:rPr>
          <w:rFonts w:ascii="Times New Roman" w:hAnsi="Times New Roman" w:eastAsia="仿宋_GB2312" w:cs="Times New Roman"/>
          <w:bCs w:val="0"/>
          <w:i w:val="0"/>
          <w:iCs w:val="0"/>
          <w:caps w:val="0"/>
          <w:color w:val="auto"/>
          <w:spacing w:val="0"/>
          <w:kern w:val="2"/>
          <w:sz w:val="32"/>
          <w:szCs w:val="32"/>
          <w:lang w:val="en-US" w:eastAsia="zh-CN" w:bidi="ar-SA"/>
        </w:rPr>
        <w:t>年</w:t>
      </w:r>
      <w:r>
        <w:rPr>
          <w:rFonts w:hint="eastAsia" w:ascii="Times New Roman" w:hAnsi="Times New Roman" w:eastAsia="仿宋_GB2312" w:cs="Times New Roman"/>
          <w:bCs w:val="0"/>
          <w:i w:val="0"/>
          <w:iCs w:val="0"/>
          <w:caps w:val="0"/>
          <w:color w:val="auto"/>
          <w:spacing w:val="0"/>
          <w:kern w:val="2"/>
          <w:sz w:val="32"/>
          <w:szCs w:val="32"/>
          <w:lang w:val="en-US" w:eastAsia="zh-CN" w:bidi="ar-SA"/>
        </w:rPr>
        <w:t>4</w:t>
      </w:r>
      <w:r>
        <w:rPr>
          <w:rFonts w:ascii="Times New Roman" w:hAnsi="Times New Roman" w:eastAsia="仿宋_GB2312" w:cs="Times New Roman"/>
          <w:bCs w:val="0"/>
          <w:i w:val="0"/>
          <w:iCs w:val="0"/>
          <w:caps w:val="0"/>
          <w:color w:val="auto"/>
          <w:spacing w:val="0"/>
          <w:kern w:val="2"/>
          <w:sz w:val="32"/>
          <w:szCs w:val="32"/>
          <w:lang w:val="en-US" w:eastAsia="zh-CN" w:bidi="ar-SA"/>
        </w:rPr>
        <w:t>月：评审报批。标准评审会后，依据评审专家意见修改标准文本和编制说明；完成标准报批稿。</w:t>
      </w:r>
    </w:p>
    <w:p>
      <w:pPr>
        <w:pStyle w:val="20"/>
        <w:numPr>
          <w:ilvl w:val="0"/>
          <w:numId w:val="3"/>
        </w:numPr>
        <w:ind w:firstLineChars="0"/>
        <w:outlineLvl w:val="0"/>
        <w:rPr>
          <w:rFonts w:ascii="黑体" w:hAnsi="黑体" w:eastAsia="黑体" w:cs="宋体"/>
          <w:bCs/>
          <w:sz w:val="32"/>
          <w:szCs w:val="32"/>
        </w:rPr>
      </w:pPr>
      <w:r>
        <w:rPr>
          <w:rFonts w:hint="eastAsia" w:ascii="黑体" w:hAnsi="黑体" w:eastAsia="黑体" w:cs="宋体"/>
          <w:bCs/>
          <w:sz w:val="32"/>
          <w:szCs w:val="32"/>
        </w:rPr>
        <w:t>保障措施</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1.技术力量</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本标准由浙江省丽水生态环境监测中心统筹协调项目编制工作，组建项目工作小组，制定项目工作计划和倒排周期表。组织具有丰富项目经验的技术人员，同时按工作能力、技术专长、任务负荷与以往表现选定本次项目负责人及各个章节负责人，同时选择专业技术人员参与到本次项目中，组成本项目组。项目负责人组织内部校核，把好质量关。最终项目成果阶段，经多方讨论、项目组内修改、再次校对后，送负责人审定后提交牵头单位。</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2.</w:t>
      </w: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经费保障</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本项目有相应经费支撑，能够保障标准制定过程中的经费支出，在经济层面也是可行的。</w:t>
      </w:r>
    </w:p>
    <w:p>
      <w:pPr>
        <w:pStyle w:val="20"/>
        <w:numPr>
          <w:ilvl w:val="0"/>
          <w:numId w:val="3"/>
        </w:numPr>
        <w:ind w:firstLineChars="0"/>
        <w:outlineLvl w:val="0"/>
        <w:rPr>
          <w:rFonts w:ascii="黑体" w:hAnsi="黑体" w:eastAsia="黑体" w:cs="宋体"/>
          <w:bCs/>
          <w:sz w:val="32"/>
          <w:szCs w:val="32"/>
        </w:rPr>
      </w:pPr>
      <w:r>
        <w:rPr>
          <w:rFonts w:hint="eastAsia" w:ascii="黑体" w:hAnsi="黑体" w:eastAsia="黑体" w:cs="宋体"/>
          <w:bCs/>
          <w:sz w:val="32"/>
          <w:szCs w:val="32"/>
        </w:rPr>
        <w:t>标准起草单位及协调情况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黑体" w:hAnsi="黑体" w:eastAsia="黑体" w:cs="宋体"/>
          <w:bCs/>
          <w:sz w:val="32"/>
          <w:szCs w:val="32"/>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本项目第一起草单位为浙江省丽水生态环境监测中心，参与起草单位为中国环境监测总站、浙江省生态环境监测中心、浙江省环保集团有限公司。各标准</w:t>
      </w: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起草单位</w:t>
      </w: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分工</w:t>
      </w: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负责标准技术内容和标准编制说明的编写，协助完成相关标准、文献、专家征求意见的收集与整理。各单位参与标准研制的人员明确分工，各负职责，同时又相互协调配合。</w:t>
      </w:r>
    </w:p>
    <w:p>
      <w:pPr>
        <w:pStyle w:val="20"/>
        <w:numPr>
          <w:ilvl w:val="0"/>
          <w:numId w:val="3"/>
        </w:numPr>
        <w:ind w:firstLineChars="0"/>
        <w:outlineLvl w:val="0"/>
        <w:rPr>
          <w:rFonts w:ascii="黑体" w:hAnsi="黑体" w:eastAsia="黑体" w:cs="宋体"/>
          <w:bCs/>
          <w:sz w:val="32"/>
          <w:szCs w:val="32"/>
        </w:rPr>
      </w:pPr>
      <w:r>
        <w:rPr>
          <w:rFonts w:hint="eastAsia" w:ascii="黑体" w:hAnsi="黑体" w:eastAsia="黑体" w:cs="宋体"/>
          <w:bCs/>
          <w:sz w:val="32"/>
          <w:szCs w:val="32"/>
        </w:rPr>
        <w:t>标准起草人及责任分工</w:t>
      </w:r>
    </w:p>
    <w:p>
      <w:pPr>
        <w:ind w:firstLine="640"/>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1.第一起草单位：</w:t>
      </w: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浙江省丽水生态环境监测中心</w:t>
      </w: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w:t>
      </w:r>
    </w:p>
    <w:p>
      <w:pPr>
        <w:ind w:firstLine="64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2.起草组工作人员分工：</w:t>
      </w:r>
      <w:r>
        <w:rPr>
          <w:rFonts w:hint="eastAsia" w:ascii="Times New Roman" w:hAnsi="Times New Roman" w:eastAsia="仿宋_GB2312" w:cs="Times New Roman"/>
          <w:bCs w:val="0"/>
          <w:i w:val="0"/>
          <w:iCs w:val="0"/>
          <w:caps w:val="0"/>
          <w:color w:val="auto"/>
          <w:spacing w:val="0"/>
          <w:kern w:val="2"/>
          <w:sz w:val="32"/>
          <w:szCs w:val="32"/>
          <w:lang w:val="en-US" w:eastAsia="zh-CN" w:bidi="ar-SA"/>
        </w:rPr>
        <w:t>标准核心编制人员及分工见表2-1。</w:t>
      </w:r>
    </w:p>
    <w:p>
      <w:pPr>
        <w:ind w:firstLine="640"/>
        <w:jc w:val="center"/>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表2-1编制人员及分工表</w:t>
      </w:r>
    </w:p>
    <w:tbl>
      <w:tblPr>
        <w:tblStyle w:val="1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586"/>
        <w:gridCol w:w="3332"/>
        <w:gridCol w:w="5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pPr>
              <w:widowControl/>
              <w:adjustRightInd w:val="0"/>
              <w:spacing w:line="240" w:lineRule="auto"/>
              <w:ind w:firstLine="0" w:firstLineChars="0"/>
              <w:jc w:val="center"/>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序号</w:t>
            </w:r>
          </w:p>
        </w:tc>
        <w:tc>
          <w:tcPr>
            <w:tcW w:w="743" w:type="pct"/>
            <w:noWrap w:val="0"/>
            <w:vAlign w:val="center"/>
          </w:tcPr>
          <w:p>
            <w:pPr>
              <w:widowControl/>
              <w:adjustRightInd w:val="0"/>
              <w:spacing w:line="240" w:lineRule="auto"/>
              <w:ind w:firstLine="0" w:firstLineChars="0"/>
              <w:jc w:val="center"/>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姓名</w:t>
            </w:r>
          </w:p>
        </w:tc>
        <w:tc>
          <w:tcPr>
            <w:tcW w:w="1561" w:type="pct"/>
            <w:noWrap w:val="0"/>
            <w:vAlign w:val="center"/>
          </w:tcPr>
          <w:p>
            <w:pPr>
              <w:widowControl/>
              <w:adjustRightInd w:val="0"/>
              <w:spacing w:line="240" w:lineRule="auto"/>
              <w:ind w:firstLine="0" w:firstLineChars="0"/>
              <w:jc w:val="center"/>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单位</w:t>
            </w:r>
          </w:p>
        </w:tc>
        <w:tc>
          <w:tcPr>
            <w:tcW w:w="2380" w:type="pct"/>
            <w:noWrap w:val="0"/>
            <w:vAlign w:val="center"/>
          </w:tcPr>
          <w:p>
            <w:pPr>
              <w:widowControl/>
              <w:adjustRightInd w:val="0"/>
              <w:spacing w:line="240" w:lineRule="auto"/>
              <w:ind w:firstLine="0" w:firstLineChars="0"/>
              <w:jc w:val="center"/>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pPr>
              <w:widowControl/>
              <w:adjustRightInd w:val="0"/>
              <w:spacing w:line="240" w:lineRule="auto"/>
              <w:ind w:firstLine="0" w:firstLineChars="0"/>
              <w:jc w:val="center"/>
              <w:rPr>
                <w:rFonts w:hint="default" w:ascii="Times New Roman" w:hAnsi="Times New Roman" w:eastAsia="仿宋_GB2312" w:cs="Times New Roman"/>
                <w:bCs w:val="0"/>
                <w:i w:val="0"/>
                <w:iCs w:val="0"/>
                <w:caps w:val="0"/>
                <w:color w:val="auto"/>
                <w:spacing w:val="0"/>
                <w:kern w:val="2"/>
                <w:sz w:val="30"/>
                <w:szCs w:val="30"/>
                <w:lang w:val="en-US" w:eastAsia="zh-CN" w:bidi="ar-SA"/>
              </w:rPr>
            </w:pPr>
            <w:bookmarkStart w:id="3" w:name="_GoBack" w:colFirst="1" w:colLast="2"/>
            <w:r>
              <w:rPr>
                <w:rFonts w:hint="default" w:ascii="Times New Roman" w:hAnsi="Times New Roman" w:eastAsia="仿宋_GB2312" w:cs="Times New Roman"/>
                <w:bCs w:val="0"/>
                <w:i w:val="0"/>
                <w:iCs w:val="0"/>
                <w:caps w:val="0"/>
                <w:color w:val="auto"/>
                <w:spacing w:val="0"/>
                <w:kern w:val="2"/>
                <w:sz w:val="30"/>
                <w:szCs w:val="30"/>
                <w:lang w:val="en-US" w:eastAsia="zh-CN" w:bidi="ar-SA"/>
              </w:rPr>
              <w:t>1</w:t>
            </w:r>
          </w:p>
        </w:tc>
        <w:tc>
          <w:tcPr>
            <w:tcW w:w="743" w:type="pct"/>
            <w:noWrap w:val="0"/>
            <w:vAlign w:val="center"/>
          </w:tcPr>
          <w:p>
            <w:pPr>
              <w:widowControl/>
              <w:adjustRightInd w:val="0"/>
              <w:spacing w:line="240" w:lineRule="auto"/>
              <w:ind w:firstLine="0" w:firstLineChars="0"/>
              <w:jc w:val="center"/>
              <w:rPr>
                <w:rFonts w:hint="default"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eastAsia="仿宋_GB2312" w:cs="Times New Roman"/>
                <w:bCs w:val="0"/>
                <w:i w:val="0"/>
                <w:iCs w:val="0"/>
                <w:caps w:val="0"/>
                <w:color w:val="auto"/>
                <w:spacing w:val="0"/>
                <w:kern w:val="2"/>
                <w:sz w:val="30"/>
                <w:szCs w:val="30"/>
                <w:lang w:val="en-US" w:eastAsia="zh-CN" w:bidi="ar-SA"/>
              </w:rPr>
              <w:t>**</w:t>
            </w:r>
          </w:p>
        </w:tc>
        <w:tc>
          <w:tcPr>
            <w:tcW w:w="15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eastAsia="仿宋_GB2312" w:cs="Times New Roman"/>
                <w:bCs w:val="0"/>
                <w:i w:val="0"/>
                <w:iCs w:val="0"/>
                <w:caps w:val="0"/>
                <w:color w:val="auto"/>
                <w:spacing w:val="0"/>
                <w:kern w:val="2"/>
                <w:sz w:val="30"/>
                <w:szCs w:val="30"/>
                <w:lang w:val="en-US" w:eastAsia="zh-CN" w:bidi="ar-SA"/>
              </w:rPr>
              <w:t>******</w:t>
            </w:r>
          </w:p>
        </w:tc>
        <w:tc>
          <w:tcPr>
            <w:tcW w:w="23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eastAsia="仿宋_GB2312" w:cs="Times New Roman"/>
                <w:bCs w:val="0"/>
                <w:i w:val="0"/>
                <w:iCs w:val="0"/>
                <w:caps w:val="0"/>
                <w:color w:val="auto"/>
                <w:spacing w:val="0"/>
                <w:kern w:val="2"/>
                <w:sz w:val="30"/>
                <w:szCs w:val="30"/>
                <w:lang w:val="en-US" w:eastAsia="zh-CN" w:bidi="ar-SA"/>
              </w:rPr>
              <w:t>标准起草负责人，组织协调标准制定所需资源，把握标准制定方向，对标准编制进行全面指导与审核，并根据标准编制进展情况对下阶段重点工作进行布置。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pPr>
              <w:widowControl/>
              <w:adjustRightInd w:val="0"/>
              <w:spacing w:line="240" w:lineRule="auto"/>
              <w:ind w:firstLine="0" w:firstLineChars="0"/>
              <w:jc w:val="center"/>
              <w:rPr>
                <w:rFonts w:hint="eastAsia"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cs="Times New Roman"/>
                <w:bCs w:val="0"/>
                <w:i w:val="0"/>
                <w:iCs w:val="0"/>
                <w:caps w:val="0"/>
                <w:color w:val="auto"/>
                <w:spacing w:val="0"/>
                <w:kern w:val="2"/>
                <w:sz w:val="30"/>
                <w:szCs w:val="30"/>
                <w:lang w:val="en-US" w:eastAsia="zh-CN" w:bidi="ar-SA"/>
              </w:rPr>
              <w:t>2</w:t>
            </w:r>
          </w:p>
        </w:tc>
        <w:tc>
          <w:tcPr>
            <w:tcW w:w="1586" w:type="dxa"/>
            <w:noWrap w:val="0"/>
            <w:vAlign w:val="center"/>
          </w:tcPr>
          <w:p>
            <w:pPr>
              <w:widowControl/>
              <w:adjustRightInd w:val="0"/>
              <w:spacing w:line="240" w:lineRule="auto"/>
              <w:ind w:firstLine="0" w:firstLineChars="0"/>
              <w:jc w:val="center"/>
              <w:rPr>
                <w:rFonts w:hint="eastAsia"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eastAsia="仿宋_GB2312" w:cs="Times New Roman"/>
                <w:bCs w:val="0"/>
                <w:i w:val="0"/>
                <w:iCs w:val="0"/>
                <w:caps w:val="0"/>
                <w:color w:val="auto"/>
                <w:spacing w:val="0"/>
                <w:kern w:val="2"/>
                <w:sz w:val="30"/>
                <w:szCs w:val="30"/>
                <w:lang w:val="en-US" w:eastAsia="zh-CN" w:bidi="ar-SA"/>
              </w:rPr>
              <w:t>**</w:t>
            </w:r>
          </w:p>
        </w:tc>
        <w:tc>
          <w:tcPr>
            <w:tcW w:w="33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eastAsia="仿宋_GB2312" w:cs="Times New Roman"/>
                <w:bCs w:val="0"/>
                <w:i w:val="0"/>
                <w:iCs w:val="0"/>
                <w:caps w:val="0"/>
                <w:color w:val="auto"/>
                <w:spacing w:val="0"/>
                <w:kern w:val="2"/>
                <w:sz w:val="30"/>
                <w:szCs w:val="30"/>
                <w:lang w:val="en-US" w:eastAsia="zh-CN" w:bidi="ar-SA"/>
              </w:rPr>
              <w:t>******</w:t>
            </w:r>
          </w:p>
        </w:tc>
        <w:tc>
          <w:tcPr>
            <w:tcW w:w="23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eastAsia="仿宋_GB2312" w:cs="Times New Roman"/>
                <w:bCs w:val="0"/>
                <w:i w:val="0"/>
                <w:iCs w:val="0"/>
                <w:caps w:val="0"/>
                <w:color w:val="auto"/>
                <w:spacing w:val="0"/>
                <w:kern w:val="2"/>
                <w:sz w:val="30"/>
                <w:szCs w:val="30"/>
                <w:lang w:val="en-US" w:eastAsia="zh-CN" w:bidi="ar-SA"/>
              </w:rPr>
              <w:t>确定标准制定框架，推进标准制定程序与进度，收集相关资料，组织召开标准编制研讨会议。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 w:type="pct"/>
            <w:noWrap w:val="0"/>
            <w:vAlign w:val="center"/>
          </w:tcPr>
          <w:p>
            <w:pPr>
              <w:widowControl/>
              <w:adjustRightInd w:val="0"/>
              <w:spacing w:line="240" w:lineRule="auto"/>
              <w:ind w:firstLine="0" w:firstLineChars="0"/>
              <w:jc w:val="center"/>
              <w:rPr>
                <w:rFonts w:hint="default"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cs="Times New Roman"/>
                <w:bCs w:val="0"/>
                <w:i w:val="0"/>
                <w:iCs w:val="0"/>
                <w:caps w:val="0"/>
                <w:color w:val="auto"/>
                <w:spacing w:val="0"/>
                <w:kern w:val="2"/>
                <w:sz w:val="30"/>
                <w:szCs w:val="30"/>
                <w:lang w:val="en-US" w:eastAsia="zh-CN" w:bidi="ar-SA"/>
              </w:rPr>
              <w:t>3</w:t>
            </w:r>
          </w:p>
        </w:tc>
        <w:tc>
          <w:tcPr>
            <w:tcW w:w="1586" w:type="dxa"/>
            <w:noWrap w:val="0"/>
            <w:vAlign w:val="center"/>
          </w:tcPr>
          <w:p>
            <w:pPr>
              <w:widowControl/>
              <w:adjustRightInd w:val="0"/>
              <w:spacing w:line="240" w:lineRule="auto"/>
              <w:ind w:firstLine="0" w:firstLineChars="0"/>
              <w:jc w:val="center"/>
              <w:rPr>
                <w:rFonts w:hint="default"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eastAsia="仿宋_GB2312" w:cs="Times New Roman"/>
                <w:bCs w:val="0"/>
                <w:i w:val="0"/>
                <w:iCs w:val="0"/>
                <w:caps w:val="0"/>
                <w:color w:val="auto"/>
                <w:spacing w:val="0"/>
                <w:kern w:val="2"/>
                <w:sz w:val="30"/>
                <w:szCs w:val="30"/>
                <w:lang w:val="en-US" w:eastAsia="zh-CN" w:bidi="ar-SA"/>
              </w:rPr>
              <w:t>**</w:t>
            </w:r>
          </w:p>
        </w:tc>
        <w:tc>
          <w:tcPr>
            <w:tcW w:w="33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eastAsia="仿宋_GB2312" w:cs="Times New Roman"/>
                <w:bCs w:val="0"/>
                <w:i w:val="0"/>
                <w:iCs w:val="0"/>
                <w:caps w:val="0"/>
                <w:color w:val="auto"/>
                <w:spacing w:val="0"/>
                <w:kern w:val="2"/>
                <w:sz w:val="30"/>
                <w:szCs w:val="30"/>
                <w:lang w:val="en-US" w:eastAsia="zh-CN" w:bidi="ar-SA"/>
              </w:rPr>
              <w:t>******</w:t>
            </w:r>
          </w:p>
        </w:tc>
        <w:tc>
          <w:tcPr>
            <w:tcW w:w="23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eastAsia="仿宋_GB2312" w:cs="Times New Roman"/>
                <w:bCs w:val="0"/>
                <w:i w:val="0"/>
                <w:iCs w:val="0"/>
                <w:caps w:val="0"/>
                <w:color w:val="auto"/>
                <w:spacing w:val="0"/>
                <w:kern w:val="2"/>
                <w:sz w:val="30"/>
                <w:szCs w:val="30"/>
                <w:lang w:val="en-US" w:eastAsia="zh-CN" w:bidi="ar-SA"/>
              </w:rPr>
              <w:t>参与标准制定框架，收集相关资料，参与编制标准内容。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noWrap w:val="0"/>
            <w:vAlign w:val="center"/>
          </w:tcPr>
          <w:p>
            <w:pPr>
              <w:widowControl/>
              <w:adjustRightInd w:val="0"/>
              <w:spacing w:line="240" w:lineRule="auto"/>
              <w:ind w:firstLine="0" w:firstLineChars="0"/>
              <w:jc w:val="center"/>
              <w:rPr>
                <w:rFonts w:hint="default"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cs="Times New Roman"/>
                <w:bCs w:val="0"/>
                <w:i w:val="0"/>
                <w:iCs w:val="0"/>
                <w:caps w:val="0"/>
                <w:color w:val="auto"/>
                <w:spacing w:val="0"/>
                <w:kern w:val="2"/>
                <w:sz w:val="30"/>
                <w:szCs w:val="30"/>
                <w:lang w:val="en-US" w:eastAsia="zh-CN" w:bidi="ar-SA"/>
              </w:rPr>
              <w:t>4</w:t>
            </w:r>
          </w:p>
        </w:tc>
        <w:tc>
          <w:tcPr>
            <w:tcW w:w="1586" w:type="dxa"/>
            <w:shd w:val="clear" w:color="auto" w:fill="auto"/>
            <w:noWrap w:val="0"/>
            <w:vAlign w:val="center"/>
          </w:tcPr>
          <w:p>
            <w:pPr>
              <w:widowControl/>
              <w:adjustRightInd w:val="0"/>
              <w:spacing w:line="240" w:lineRule="auto"/>
              <w:ind w:firstLine="0" w:firstLineChars="0"/>
              <w:jc w:val="center"/>
              <w:rPr>
                <w:rFonts w:hint="eastAsia"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eastAsia="仿宋_GB2312" w:cs="Times New Roman"/>
                <w:bCs w:val="0"/>
                <w:i w:val="0"/>
                <w:iCs w:val="0"/>
                <w:caps w:val="0"/>
                <w:color w:val="auto"/>
                <w:spacing w:val="0"/>
                <w:kern w:val="2"/>
                <w:sz w:val="30"/>
                <w:szCs w:val="30"/>
                <w:lang w:val="en-US" w:eastAsia="zh-CN" w:bidi="ar-SA"/>
              </w:rPr>
              <w:t>**</w:t>
            </w:r>
          </w:p>
        </w:tc>
        <w:tc>
          <w:tcPr>
            <w:tcW w:w="3332"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eastAsia="仿宋_GB2312" w:cs="Times New Roman"/>
                <w:bCs w:val="0"/>
                <w:i w:val="0"/>
                <w:iCs w:val="0"/>
                <w:caps w:val="0"/>
                <w:color w:val="auto"/>
                <w:spacing w:val="0"/>
                <w:kern w:val="2"/>
                <w:sz w:val="30"/>
                <w:szCs w:val="30"/>
                <w:lang w:val="en-US" w:eastAsia="zh-CN" w:bidi="ar-SA"/>
              </w:rPr>
              <w:t>******</w:t>
            </w:r>
          </w:p>
        </w:tc>
        <w:tc>
          <w:tcPr>
            <w:tcW w:w="238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eastAsia="仿宋_GB2312" w:cs="Times New Roman"/>
                <w:bCs w:val="0"/>
                <w:i w:val="0"/>
                <w:iCs w:val="0"/>
                <w:caps w:val="0"/>
                <w:color w:val="auto"/>
                <w:spacing w:val="0"/>
                <w:kern w:val="2"/>
                <w:sz w:val="30"/>
                <w:szCs w:val="30"/>
                <w:lang w:val="en-US" w:eastAsia="zh-CN" w:bidi="ar-SA"/>
              </w:rPr>
              <w:t>组织标准调研与起草工作，对标准编制进行审核，研究进展和实施深度。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shd w:val="clear" w:color="auto" w:fill="auto"/>
            <w:noWrap w:val="0"/>
            <w:vAlign w:val="center"/>
          </w:tcPr>
          <w:p>
            <w:pPr>
              <w:widowControl/>
              <w:adjustRightInd w:val="0"/>
              <w:spacing w:line="240" w:lineRule="auto"/>
              <w:ind w:firstLine="0" w:firstLineChars="0"/>
              <w:jc w:val="center"/>
              <w:rPr>
                <w:rFonts w:hint="eastAsia" w:ascii="Times New Roman" w:hAnsi="Times New Roman" w:cs="Times New Roman" w:eastAsiaTheme="minorEastAsia"/>
                <w:bCs w:val="0"/>
                <w:i w:val="0"/>
                <w:iCs w:val="0"/>
                <w:caps w:val="0"/>
                <w:color w:val="auto"/>
                <w:spacing w:val="0"/>
                <w:kern w:val="2"/>
                <w:sz w:val="30"/>
                <w:szCs w:val="30"/>
                <w:lang w:val="en-US" w:eastAsia="zh-CN" w:bidi="ar-SA"/>
              </w:rPr>
            </w:pPr>
            <w:r>
              <w:rPr>
                <w:rFonts w:hint="eastAsia" w:ascii="Times New Roman" w:hAnsi="Times New Roman" w:cs="Times New Roman"/>
                <w:bCs w:val="0"/>
                <w:i w:val="0"/>
                <w:iCs w:val="0"/>
                <w:caps w:val="0"/>
                <w:color w:val="auto"/>
                <w:spacing w:val="0"/>
                <w:kern w:val="2"/>
                <w:sz w:val="30"/>
                <w:szCs w:val="30"/>
                <w:lang w:val="en-US" w:eastAsia="zh-CN" w:bidi="ar-SA"/>
              </w:rPr>
              <w:t>5</w:t>
            </w:r>
          </w:p>
        </w:tc>
        <w:tc>
          <w:tcPr>
            <w:tcW w:w="1586" w:type="dxa"/>
            <w:shd w:val="clear" w:color="auto" w:fill="auto"/>
            <w:noWrap w:val="0"/>
            <w:vAlign w:val="center"/>
          </w:tcPr>
          <w:p>
            <w:pPr>
              <w:widowControl/>
              <w:adjustRightInd w:val="0"/>
              <w:spacing w:line="240" w:lineRule="auto"/>
              <w:ind w:firstLine="0" w:firstLineChars="0"/>
              <w:jc w:val="center"/>
              <w:rPr>
                <w:rFonts w:hint="eastAsia"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eastAsia="仿宋_GB2312" w:cs="Times New Roman"/>
                <w:bCs w:val="0"/>
                <w:i w:val="0"/>
                <w:iCs w:val="0"/>
                <w:caps w:val="0"/>
                <w:color w:val="auto"/>
                <w:spacing w:val="0"/>
                <w:kern w:val="2"/>
                <w:sz w:val="30"/>
                <w:szCs w:val="30"/>
                <w:lang w:val="en-US" w:eastAsia="zh-CN" w:bidi="ar-SA"/>
              </w:rPr>
              <w:t>**</w:t>
            </w:r>
          </w:p>
        </w:tc>
        <w:tc>
          <w:tcPr>
            <w:tcW w:w="3332"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eastAsia="仿宋_GB2312" w:cs="Times New Roman"/>
                <w:bCs w:val="0"/>
                <w:i w:val="0"/>
                <w:iCs w:val="0"/>
                <w:caps w:val="0"/>
                <w:color w:val="auto"/>
                <w:spacing w:val="0"/>
                <w:kern w:val="2"/>
                <w:sz w:val="30"/>
                <w:szCs w:val="30"/>
                <w:lang w:val="en-US" w:eastAsia="zh-CN" w:bidi="ar-SA"/>
              </w:rPr>
              <w:t>******</w:t>
            </w:r>
          </w:p>
        </w:tc>
        <w:tc>
          <w:tcPr>
            <w:tcW w:w="238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Times New Roman" w:hAnsi="Times New Roman" w:eastAsia="仿宋_GB2312" w:cs="Times New Roman"/>
                <w:bCs w:val="0"/>
                <w:i w:val="0"/>
                <w:iCs w:val="0"/>
                <w:caps w:val="0"/>
                <w:color w:val="auto"/>
                <w:spacing w:val="0"/>
                <w:kern w:val="2"/>
                <w:sz w:val="30"/>
                <w:szCs w:val="30"/>
                <w:lang w:val="en-US" w:eastAsia="zh-CN" w:bidi="ar-SA"/>
              </w:rPr>
            </w:pPr>
            <w:r>
              <w:rPr>
                <w:rFonts w:hint="eastAsia" w:ascii="Times New Roman" w:hAnsi="Times New Roman" w:eastAsia="仿宋_GB2312" w:cs="Times New Roman"/>
                <w:bCs w:val="0"/>
                <w:i w:val="0"/>
                <w:iCs w:val="0"/>
                <w:caps w:val="0"/>
                <w:color w:val="auto"/>
                <w:spacing w:val="0"/>
                <w:kern w:val="2"/>
                <w:sz w:val="30"/>
                <w:szCs w:val="30"/>
                <w:lang w:val="en-US" w:eastAsia="zh-CN" w:bidi="ar-SA"/>
              </w:rPr>
              <w:t>确定标准制定框架，对标准编制进行审核。</w:t>
            </w:r>
          </w:p>
        </w:tc>
      </w:tr>
      <w:bookmarkEnd w:id="3"/>
    </w:tbl>
    <w:p>
      <w:pPr>
        <w:pStyle w:val="20"/>
        <w:numPr>
          <w:ilvl w:val="0"/>
          <w:numId w:val="3"/>
        </w:numPr>
        <w:ind w:firstLineChars="0"/>
        <w:outlineLvl w:val="0"/>
        <w:rPr>
          <w:rFonts w:ascii="黑体" w:hAnsi="黑体" w:eastAsia="黑体" w:cs="宋体"/>
          <w:bCs/>
          <w:sz w:val="32"/>
          <w:szCs w:val="32"/>
        </w:rPr>
      </w:pPr>
      <w:r>
        <w:rPr>
          <w:rFonts w:hint="eastAsia" w:ascii="黑体" w:hAnsi="黑体" w:eastAsia="黑体" w:cs="宋体"/>
          <w:bCs/>
          <w:sz w:val="32"/>
          <w:szCs w:val="32"/>
        </w:rPr>
        <w:t>有关研究基础和前期研究成果介绍</w:t>
      </w:r>
    </w:p>
    <w:p>
      <w:pPr>
        <w:ind w:firstLine="640"/>
        <w:rPr>
          <w:rFonts w:ascii="黑体" w:hAnsi="黑体" w:eastAsia="黑体" w:cs="宋体"/>
          <w:bCs/>
          <w:sz w:val="32"/>
          <w:szCs w:val="32"/>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2023年</w:t>
      </w: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w:t>
      </w: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浙江省丽水生态环境监测中心会同中国环境监测总站、浙江省生态环境监测中心站</w:t>
      </w: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w:t>
      </w: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共同</w:t>
      </w: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开展了</w:t>
      </w: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丽水市生态环境质量综合指数</w:t>
      </w: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课题</w:t>
      </w: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研究</w:t>
      </w: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，并</w:t>
      </w: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编制</w:t>
      </w: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了</w:t>
      </w: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《丽水市生态环境质量综合指数研究报告》，为我市制定丽水市地方标准《</w:t>
      </w:r>
      <w:r>
        <w:rPr>
          <w:rFonts w:hint="default" w:ascii="Times New Roman" w:hAnsi="Times New Roman" w:eastAsia="仿宋_GB2312" w:cs="Times New Roman"/>
          <w:b w:val="0"/>
          <w:bCs w:val="0"/>
          <w:i w:val="0"/>
          <w:iCs w:val="0"/>
          <w:caps w:val="0"/>
          <w:color w:val="auto"/>
          <w:spacing w:val="0"/>
          <w:kern w:val="2"/>
          <w:sz w:val="32"/>
          <w:szCs w:val="32"/>
          <w:lang w:val="en-US" w:eastAsia="zh-CN" w:bidi="ar-SA"/>
        </w:rPr>
        <w:t>生态</w:t>
      </w: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环境质量综合指数（EQCI）技术规定》奠定了基础。</w:t>
      </w:r>
    </w:p>
    <w:p>
      <w:pPr>
        <w:pStyle w:val="20"/>
        <w:numPr>
          <w:ilvl w:val="0"/>
          <w:numId w:val="1"/>
        </w:numPr>
        <w:ind w:firstLineChars="0"/>
        <w:outlineLvl w:val="0"/>
        <w:rPr>
          <w:rFonts w:ascii="黑体" w:hAnsi="黑体" w:eastAsia="黑体" w:cs="宋体"/>
          <w:bCs/>
          <w:sz w:val="32"/>
          <w:szCs w:val="32"/>
        </w:rPr>
      </w:pPr>
      <w:r>
        <w:rPr>
          <w:rFonts w:hint="eastAsia" w:ascii="黑体" w:hAnsi="黑体" w:eastAsia="黑体" w:cs="宋体"/>
          <w:bCs/>
          <w:sz w:val="32"/>
          <w:szCs w:val="32"/>
        </w:rPr>
        <w:t>编制原则</w:t>
      </w:r>
    </w:p>
    <w:p>
      <w:pPr>
        <w:pStyle w:val="20"/>
        <w:numPr>
          <w:ilvl w:val="0"/>
          <w:numId w:val="4"/>
        </w:numPr>
        <w:ind w:firstLineChars="0"/>
        <w:outlineLvl w:val="0"/>
        <w:rPr>
          <w:rFonts w:ascii="黑体" w:hAnsi="黑体" w:eastAsia="黑体" w:cs="宋体"/>
          <w:bCs/>
          <w:sz w:val="32"/>
          <w:szCs w:val="32"/>
        </w:rPr>
      </w:pPr>
      <w:r>
        <w:rPr>
          <w:rFonts w:hint="default" w:ascii="黑体" w:hAnsi="黑体" w:eastAsia="黑体" w:cs="宋体"/>
          <w:bCs/>
          <w:sz w:val="32"/>
          <w:szCs w:val="32"/>
        </w:rPr>
        <w:t>合规</w:t>
      </w:r>
      <w:r>
        <w:rPr>
          <w:rFonts w:hint="eastAsia" w:ascii="黑体" w:hAnsi="黑体" w:eastAsia="黑体" w:cs="宋体"/>
          <w:bCs/>
          <w:sz w:val="32"/>
          <w:szCs w:val="32"/>
        </w:rPr>
        <w:t>性原则</w:t>
      </w:r>
    </w:p>
    <w:p>
      <w:pPr>
        <w:ind w:firstLine="640"/>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本标准制定严格按照《标准化工作导则第1部分：标准化文件的结构和起草规则》（GB/T1.1—2020）的规范和要求撰写。全文引用7项强制性国家标准（GB 3095、GB 3838等），确保与上位法一致性。</w:t>
      </w:r>
    </w:p>
    <w:p>
      <w:pPr>
        <w:pStyle w:val="20"/>
        <w:numPr>
          <w:ilvl w:val="0"/>
          <w:numId w:val="4"/>
        </w:numPr>
        <w:ind w:firstLineChars="0"/>
        <w:outlineLvl w:val="0"/>
        <w:rPr>
          <w:rFonts w:ascii="黑体" w:hAnsi="黑体" w:eastAsia="黑体" w:cs="宋体"/>
          <w:bCs/>
          <w:sz w:val="32"/>
          <w:szCs w:val="32"/>
        </w:rPr>
      </w:pPr>
      <w:r>
        <w:rPr>
          <w:rFonts w:hint="eastAsia" w:ascii="黑体" w:hAnsi="黑体" w:eastAsia="黑体" w:cs="宋体"/>
          <w:bCs/>
          <w:sz w:val="32"/>
          <w:szCs w:val="32"/>
        </w:rPr>
        <w:t>适用性原则</w:t>
      </w:r>
    </w:p>
    <w:p>
      <w:pPr>
        <w:ind w:firstLine="640"/>
        <w:rPr>
          <w:rFonts w:hint="default"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本标准制定时结合多项国家标准规定、评价方法等，选取综合评价指标，全面反映生态环境质量状况，使评价结果更加全面。本标准从生态质量、环境质量、绿色低碳发展三个维度进行评价，充分反映丽水特点。</w:t>
      </w:r>
    </w:p>
    <w:p>
      <w:pPr>
        <w:pStyle w:val="20"/>
        <w:numPr>
          <w:ilvl w:val="0"/>
          <w:numId w:val="4"/>
        </w:numPr>
        <w:ind w:firstLineChars="0"/>
        <w:outlineLvl w:val="0"/>
        <w:rPr>
          <w:rFonts w:ascii="黑体" w:hAnsi="黑体" w:eastAsia="黑体" w:cs="宋体"/>
          <w:bCs/>
          <w:sz w:val="32"/>
          <w:szCs w:val="32"/>
        </w:rPr>
      </w:pPr>
      <w:r>
        <w:rPr>
          <w:rFonts w:hint="eastAsia" w:ascii="黑体" w:hAnsi="黑体" w:eastAsia="黑体" w:cs="宋体"/>
          <w:bCs/>
          <w:sz w:val="32"/>
          <w:szCs w:val="32"/>
        </w:rPr>
        <w:t>可操作性原则</w:t>
      </w:r>
    </w:p>
    <w:p>
      <w:pPr>
        <w:ind w:firstLine="640"/>
        <w:rPr>
          <w:rFonts w:hint="default"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本标准制定过程中，采用座谈会方式，集中相关工作人员对标准内与其自身工作适宜性进行探讨，并进行修改完善。本标准针对丽水特色编制，具有较强的可操作性。</w:t>
      </w:r>
    </w:p>
    <w:p>
      <w:pPr>
        <w:pStyle w:val="20"/>
        <w:numPr>
          <w:ilvl w:val="0"/>
          <w:numId w:val="1"/>
        </w:numPr>
        <w:ind w:firstLineChars="0"/>
        <w:outlineLvl w:val="0"/>
        <w:rPr>
          <w:rFonts w:ascii="黑体" w:hAnsi="黑体" w:eastAsia="黑体" w:cs="宋体"/>
          <w:bCs/>
          <w:sz w:val="32"/>
          <w:szCs w:val="32"/>
        </w:rPr>
      </w:pPr>
      <w:r>
        <w:rPr>
          <w:rFonts w:hint="eastAsia" w:ascii="黑体" w:hAnsi="黑体" w:eastAsia="黑体" w:cs="宋体"/>
          <w:bCs/>
          <w:sz w:val="32"/>
          <w:szCs w:val="32"/>
        </w:rPr>
        <w:t>与有关法律、法规、规章的关系以及与相关国家标准、行业标准、地方标准的重复性、协调性分析★</w:t>
      </w:r>
    </w:p>
    <w:p>
      <w:pPr>
        <w:ind w:firstLine="640"/>
        <w:rPr>
          <w:rFonts w:hint="eastAsia" w:ascii="Times New Roman" w:hAnsi="Times New Roman" w:eastAsia="仿宋_GB2312" w:cs="Times New Roman"/>
          <w:b/>
          <w:bCs/>
          <w:i w:val="0"/>
          <w:iCs w:val="0"/>
          <w:caps w:val="0"/>
          <w:color w:val="auto"/>
          <w:spacing w:val="0"/>
          <w:kern w:val="2"/>
          <w:sz w:val="32"/>
          <w:szCs w:val="32"/>
          <w:lang w:val="en-US" w:eastAsia="zh-CN" w:bidi="ar-SA"/>
        </w:rPr>
      </w:pPr>
      <w:r>
        <w:rPr>
          <w:rFonts w:hint="eastAsia" w:ascii="Times New Roman" w:hAnsi="Times New Roman" w:eastAsia="仿宋_GB2312" w:cs="Times New Roman"/>
          <w:b/>
          <w:bCs/>
          <w:i w:val="0"/>
          <w:iCs w:val="0"/>
          <w:caps w:val="0"/>
          <w:color w:val="auto"/>
          <w:spacing w:val="0"/>
          <w:kern w:val="2"/>
          <w:sz w:val="32"/>
          <w:szCs w:val="32"/>
          <w:lang w:val="en-US" w:eastAsia="zh-CN" w:bidi="ar-SA"/>
        </w:rPr>
        <w:t>（一）与法律法规的衔接性</w:t>
      </w:r>
    </w:p>
    <w:p>
      <w:pPr>
        <w:ind w:firstLine="640"/>
        <w:rPr>
          <w:rFonts w:hint="eastAsia"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本标准严格遵循我国生态环境保护领域顶层法律框架，与以下法律法规形成有效支撑：</w:t>
      </w:r>
    </w:p>
    <w:p>
      <w:pPr>
        <w:ind w:firstLine="640"/>
        <w:rPr>
          <w:rFonts w:hint="eastAsia"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1.《中华人民共和国环境保护法》</w:t>
      </w:r>
    </w:p>
    <w:p>
      <w:pPr>
        <w:ind w:firstLine="640"/>
        <w:rPr>
          <w:rFonts w:hint="eastAsia"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第十六条（环境质量标准制定）：标准中"环境质量水平"指标（权重0.6）直接响应法律对环境质量监测与评价的要求，特别是地表水（GB 3838）、地下水（GB/T 14848）等要素的监测频次与分级标准完全对标。</w:t>
      </w:r>
    </w:p>
    <w:p>
      <w:pPr>
        <w:ind w:firstLine="640"/>
        <w:rPr>
          <w:rFonts w:hint="eastAsia"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第二十九条（生态保护红线）：在"生态质量水平"指标中设置"生态保护红线面积占比"三级指标，量化评估生态空间管控成效。</w:t>
      </w:r>
    </w:p>
    <w:p>
      <w:pPr>
        <w:ind w:firstLine="640"/>
        <w:rPr>
          <w:rFonts w:hint="eastAsia"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2.《浙江省生态环境保护条例》</w:t>
      </w:r>
    </w:p>
    <w:p>
      <w:pPr>
        <w:ind w:firstLine="640"/>
        <w:rPr>
          <w:rFonts w:hint="eastAsia"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第二十三条（生态产品价值实现）：通过"绿色低碳水平"指标（权重0.3）建立生态保护与经济发展转化评价机制，支撑条例中生态补偿、绿色金融等制度落地。</w:t>
      </w:r>
    </w:p>
    <w:p>
      <w:pPr>
        <w:ind w:firstLine="640"/>
        <w:rPr>
          <w:rFonts w:hint="eastAsia" w:ascii="Times New Roman" w:hAnsi="Times New Roman" w:eastAsia="仿宋_GB2312" w:cs="Times New Roman"/>
          <w:b/>
          <w:bCs/>
          <w:i w:val="0"/>
          <w:iCs w:val="0"/>
          <w:caps w:val="0"/>
          <w:color w:val="auto"/>
          <w:spacing w:val="0"/>
          <w:kern w:val="2"/>
          <w:sz w:val="32"/>
          <w:szCs w:val="32"/>
          <w:lang w:val="en-US" w:eastAsia="zh-CN" w:bidi="ar-SA"/>
        </w:rPr>
      </w:pPr>
      <w:r>
        <w:rPr>
          <w:rFonts w:hint="eastAsia" w:ascii="Times New Roman" w:hAnsi="Times New Roman" w:eastAsia="仿宋_GB2312" w:cs="Times New Roman"/>
          <w:b/>
          <w:bCs/>
          <w:i w:val="0"/>
          <w:iCs w:val="0"/>
          <w:caps w:val="0"/>
          <w:color w:val="auto"/>
          <w:spacing w:val="0"/>
          <w:kern w:val="2"/>
          <w:sz w:val="32"/>
          <w:szCs w:val="32"/>
          <w:lang w:val="en-US" w:eastAsia="zh-CN" w:bidi="ar-SA"/>
        </w:rPr>
        <w:t>（二）与国家标准体系的协调性</w:t>
      </w:r>
    </w:p>
    <w:p>
      <w:pPr>
        <w:ind w:firstLine="640"/>
        <w:rPr>
          <w:rFonts w:hint="eastAsia" w:ascii="Times New Roman" w:hAnsi="Times New Roman" w:eastAsia="仿宋_GB2312" w:cs="Times New Roman"/>
          <w:b w:val="0"/>
          <w:bCs w:val="0"/>
          <w:i w:val="0"/>
          <w:iCs w:val="0"/>
          <w:caps w:val="0"/>
          <w:color w:val="auto"/>
          <w:spacing w:val="0"/>
          <w:kern w:val="2"/>
          <w:sz w:val="32"/>
          <w:szCs w:val="32"/>
          <w:lang w:val="en-US" w:eastAsia="zh-CN" w:bidi="ar-SA"/>
        </w:rPr>
      </w:pP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本标准与12项国家级标准形成互补协同关系，具体表现为：</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46"/>
        <w:gridCol w:w="1028"/>
        <w:gridCol w:w="3357"/>
        <w:gridCol w:w="5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single" w:color="CCCCCC" w:sz="2" w:space="0"/>
              <w:left w:val="single" w:color="CCCCCC" w:sz="2" w:space="0"/>
              <w:bottom w:val="single" w:color="CCCCCC" w:sz="2" w:space="0"/>
              <w:right w:val="single" w:color="CCCCCC" w:sz="2" w:space="0"/>
            </w:tcBorders>
            <w:shd w:val="clear" w:color="auto" w:fill="F5F5F5"/>
            <w:vAlign w:val="center"/>
          </w:tcPr>
          <w:p>
            <w:pPr>
              <w:keepNext w:val="0"/>
              <w:keepLines w:val="0"/>
              <w:widowControl/>
              <w:suppressLineNumbers w:val="0"/>
              <w:wordWrap w:val="0"/>
              <w:jc w:val="center"/>
              <w:rPr>
                <w:b/>
                <w:bCs/>
                <w:sz w:val="21"/>
                <w:szCs w:val="21"/>
              </w:rPr>
            </w:pPr>
            <w:r>
              <w:rPr>
                <w:rFonts w:ascii="宋体" w:hAnsi="宋体" w:eastAsia="宋体" w:cs="宋体"/>
                <w:b/>
                <w:bCs/>
                <w:kern w:val="0"/>
                <w:sz w:val="21"/>
                <w:szCs w:val="21"/>
                <w:lang w:val="en-US" w:eastAsia="zh-CN" w:bidi="ar"/>
              </w:rPr>
              <w:t>标准类型</w:t>
            </w:r>
          </w:p>
        </w:tc>
        <w:tc>
          <w:tcPr>
            <w:tcW w:w="0" w:type="auto"/>
            <w:tcBorders>
              <w:top w:val="single" w:color="CCCCCC" w:sz="2" w:space="0"/>
              <w:left w:val="single" w:color="CCCCCC" w:sz="2" w:space="0"/>
              <w:bottom w:val="single" w:color="CCCCCC" w:sz="2" w:space="0"/>
              <w:right w:val="single" w:color="CCCCCC" w:sz="2" w:space="0"/>
            </w:tcBorders>
            <w:shd w:val="clear" w:color="auto" w:fill="F5F5F5"/>
            <w:vAlign w:val="center"/>
          </w:tcPr>
          <w:p>
            <w:pPr>
              <w:keepNext w:val="0"/>
              <w:keepLines w:val="0"/>
              <w:widowControl/>
              <w:suppressLineNumbers w:val="0"/>
              <w:wordWrap w:val="0"/>
              <w:jc w:val="center"/>
              <w:rPr>
                <w:b/>
                <w:bCs/>
                <w:sz w:val="21"/>
                <w:szCs w:val="21"/>
              </w:rPr>
            </w:pPr>
            <w:r>
              <w:rPr>
                <w:rFonts w:ascii="宋体" w:hAnsi="宋体" w:eastAsia="宋体" w:cs="宋体"/>
                <w:b/>
                <w:bCs/>
                <w:kern w:val="0"/>
                <w:sz w:val="21"/>
                <w:szCs w:val="21"/>
                <w:lang w:val="en-US" w:eastAsia="zh-CN" w:bidi="ar"/>
              </w:rPr>
              <w:t>国家标准编号</w:t>
            </w:r>
          </w:p>
        </w:tc>
        <w:tc>
          <w:tcPr>
            <w:tcW w:w="0" w:type="auto"/>
            <w:tcBorders>
              <w:top w:val="single" w:color="CCCCCC" w:sz="2" w:space="0"/>
              <w:left w:val="single" w:color="CCCCCC" w:sz="2" w:space="0"/>
              <w:bottom w:val="single" w:color="CCCCCC" w:sz="2" w:space="0"/>
              <w:right w:val="single" w:color="CCCCCC" w:sz="2" w:space="0"/>
            </w:tcBorders>
            <w:shd w:val="clear" w:color="auto" w:fill="F5F5F5"/>
            <w:vAlign w:val="center"/>
          </w:tcPr>
          <w:p>
            <w:pPr>
              <w:keepNext w:val="0"/>
              <w:keepLines w:val="0"/>
              <w:widowControl/>
              <w:suppressLineNumbers w:val="0"/>
              <w:wordWrap w:val="0"/>
              <w:jc w:val="center"/>
              <w:rPr>
                <w:b/>
                <w:bCs/>
                <w:sz w:val="21"/>
                <w:szCs w:val="21"/>
              </w:rPr>
            </w:pPr>
            <w:r>
              <w:rPr>
                <w:rFonts w:ascii="宋体" w:hAnsi="宋体" w:eastAsia="宋体" w:cs="宋体"/>
                <w:b/>
                <w:bCs/>
                <w:kern w:val="0"/>
                <w:sz w:val="21"/>
                <w:szCs w:val="21"/>
                <w:lang w:val="en-US" w:eastAsia="zh-CN" w:bidi="ar"/>
              </w:rPr>
              <w:t>协调内容</w:t>
            </w:r>
          </w:p>
        </w:tc>
        <w:tc>
          <w:tcPr>
            <w:tcW w:w="0" w:type="auto"/>
            <w:tcBorders>
              <w:top w:val="single" w:color="CCCCCC" w:sz="2" w:space="0"/>
              <w:left w:val="single" w:color="CCCCCC" w:sz="2" w:space="0"/>
              <w:bottom w:val="single" w:color="CCCCCC" w:sz="2" w:space="0"/>
              <w:right w:val="single" w:color="CCCCCC" w:sz="2" w:space="0"/>
            </w:tcBorders>
            <w:shd w:val="clear" w:color="auto" w:fill="F5F5F5"/>
            <w:vAlign w:val="center"/>
          </w:tcPr>
          <w:p>
            <w:pPr>
              <w:keepNext w:val="0"/>
              <w:keepLines w:val="0"/>
              <w:widowControl/>
              <w:suppressLineNumbers w:val="0"/>
              <w:wordWrap w:val="0"/>
              <w:jc w:val="center"/>
              <w:rPr>
                <w:b/>
                <w:bCs/>
                <w:sz w:val="21"/>
                <w:szCs w:val="21"/>
              </w:rPr>
            </w:pPr>
            <w:r>
              <w:rPr>
                <w:rFonts w:ascii="宋体" w:hAnsi="宋体" w:eastAsia="宋体" w:cs="宋体"/>
                <w:b/>
                <w:bCs/>
                <w:kern w:val="0"/>
                <w:sz w:val="21"/>
                <w:szCs w:val="21"/>
                <w:lang w:val="en-US" w:eastAsia="zh-CN" w:bidi="ar"/>
              </w:rPr>
              <w:t>技术处理方式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环境质量标准</w:t>
            </w:r>
          </w:p>
        </w:tc>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GB 3095-2012</w:t>
            </w:r>
          </w:p>
        </w:tc>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采用AQI计算模型（HJ 633）评价空气质量</w:t>
            </w:r>
          </w:p>
        </w:tc>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空气质量综合指数与AQI计算逻辑完全一致，PM2.5/PM10浓度限值引用GB 3095-2012二级标准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水环境标准</w:t>
            </w:r>
          </w:p>
        </w:tc>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GB 3838-2002</w:t>
            </w:r>
          </w:p>
        </w:tc>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地表水优良水质比例、劣V类水体比例等指标沿用国标定义</w:t>
            </w:r>
          </w:p>
        </w:tc>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增设"县级以上集中式饮用水水源地水质达标率"特色指标，体现城乡统筹要求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生态质量评价</w:t>
            </w:r>
          </w:p>
        </w:tc>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HJ 663-2013</w:t>
            </w:r>
          </w:p>
        </w:tc>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生态质量指数（EQI）计算方法与HJ 663保持一致</w:t>
            </w:r>
          </w:p>
        </w:tc>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扩展森林、湿地、农田等生态系统类型的覆盖范围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绿色发展</w:t>
            </w:r>
          </w:p>
        </w:tc>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GB/T 33915-2017</w:t>
            </w:r>
          </w:p>
        </w:tc>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单位GDP能耗、碳排放强度等指标引用国标计算方法</w:t>
            </w:r>
          </w:p>
        </w:tc>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rPr>
                <w:sz w:val="21"/>
                <w:szCs w:val="21"/>
              </w:rPr>
            </w:pPr>
            <w:r>
              <w:rPr>
                <w:rFonts w:ascii="宋体" w:hAnsi="宋体" w:eastAsia="宋体" w:cs="宋体"/>
                <w:kern w:val="0"/>
                <w:sz w:val="21"/>
                <w:szCs w:val="21"/>
                <w:lang w:val="en-US" w:eastAsia="zh-CN" w:bidi="ar"/>
              </w:rPr>
              <w:t>增设"清洁能源消费占比"本地化指标，突出丽水市能源结构转型特征</w:t>
            </w:r>
          </w:p>
        </w:tc>
      </w:tr>
    </w:tbl>
    <w:p>
      <w:pPr>
        <w:keepNext w:val="0"/>
        <w:keepLines w:val="0"/>
        <w:widowControl/>
        <w:suppressLineNumbers w:val="0"/>
      </w:pPr>
    </w:p>
    <w:p>
      <w:pPr>
        <w:ind w:firstLine="640"/>
        <w:rPr>
          <w:rFonts w:hint="eastAsia" w:ascii="Times New Roman" w:hAnsi="Times New Roman" w:eastAsia="仿宋_GB2312" w:cs="Times New Roman"/>
          <w:b/>
          <w:bCs/>
          <w:i w:val="0"/>
          <w:iCs w:val="0"/>
          <w:caps w:val="0"/>
          <w:color w:val="auto"/>
          <w:spacing w:val="0"/>
          <w:kern w:val="2"/>
          <w:sz w:val="32"/>
          <w:szCs w:val="32"/>
          <w:lang w:val="en-US" w:eastAsia="zh-CN" w:bidi="ar-SA"/>
        </w:rPr>
      </w:pPr>
      <w:r>
        <w:rPr>
          <w:rFonts w:hint="eastAsia" w:ascii="Times New Roman" w:hAnsi="Times New Roman" w:eastAsia="仿宋_GB2312" w:cs="Times New Roman"/>
          <w:b/>
          <w:bCs/>
          <w:i w:val="0"/>
          <w:iCs w:val="0"/>
          <w:caps w:val="0"/>
          <w:color w:val="auto"/>
          <w:spacing w:val="0"/>
          <w:kern w:val="2"/>
          <w:sz w:val="32"/>
          <w:szCs w:val="32"/>
          <w:lang w:val="en-US" w:eastAsia="zh-CN" w:bidi="ar-SA"/>
        </w:rPr>
        <w:t>（三）与行业标准、地方标准的差异性</w:t>
      </w:r>
    </w:p>
    <w:p>
      <w:pPr>
        <w:ind w:firstLine="640"/>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1. 与行业标准的对比</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06"/>
        <w:gridCol w:w="2478"/>
        <w:gridCol w:w="5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single" w:color="CCCCCC" w:sz="2" w:space="0"/>
              <w:left w:val="single" w:color="CCCCCC" w:sz="2" w:space="0"/>
              <w:bottom w:val="single" w:color="CCCCCC" w:sz="2" w:space="0"/>
              <w:right w:val="single" w:color="CCCCCC" w:sz="2" w:space="0"/>
            </w:tcBorders>
            <w:shd w:val="clear" w:color="auto" w:fill="F5F5F5"/>
            <w:vAlign w:val="center"/>
          </w:tcPr>
          <w:p>
            <w:pPr>
              <w:keepNext w:val="0"/>
              <w:keepLines w:val="0"/>
              <w:widowControl/>
              <w:suppressLineNumbers w:val="0"/>
              <w:wordWrap w:val="0"/>
              <w:jc w:val="center"/>
              <w:rPr>
                <w:b/>
                <w:bCs/>
              </w:rPr>
            </w:pPr>
            <w:r>
              <w:rPr>
                <w:rFonts w:ascii="宋体" w:hAnsi="宋体" w:eastAsia="宋体" w:cs="宋体"/>
                <w:b/>
                <w:bCs/>
                <w:kern w:val="0"/>
                <w:sz w:val="24"/>
                <w:szCs w:val="24"/>
                <w:lang w:val="en-US" w:eastAsia="zh-CN" w:bidi="ar"/>
              </w:rPr>
              <w:t>行业标准名称</w:t>
            </w:r>
          </w:p>
        </w:tc>
        <w:tc>
          <w:tcPr>
            <w:tcW w:w="0" w:type="auto"/>
            <w:tcBorders>
              <w:top w:val="single" w:color="CCCCCC" w:sz="2" w:space="0"/>
              <w:left w:val="single" w:color="CCCCCC" w:sz="2" w:space="0"/>
              <w:bottom w:val="single" w:color="CCCCCC" w:sz="2" w:space="0"/>
              <w:right w:val="single" w:color="CCCCCC" w:sz="2" w:space="0"/>
            </w:tcBorders>
            <w:shd w:val="clear" w:color="auto" w:fill="F5F5F5"/>
            <w:vAlign w:val="center"/>
          </w:tcPr>
          <w:p>
            <w:pPr>
              <w:keepNext w:val="0"/>
              <w:keepLines w:val="0"/>
              <w:widowControl/>
              <w:suppressLineNumbers w:val="0"/>
              <w:wordWrap w:val="0"/>
              <w:jc w:val="center"/>
              <w:rPr>
                <w:b/>
                <w:bCs/>
              </w:rPr>
            </w:pPr>
            <w:r>
              <w:rPr>
                <w:rFonts w:ascii="宋体" w:hAnsi="宋体" w:eastAsia="宋体" w:cs="宋体"/>
                <w:b/>
                <w:bCs/>
                <w:kern w:val="0"/>
                <w:sz w:val="24"/>
                <w:szCs w:val="24"/>
                <w:lang w:val="en-US" w:eastAsia="zh-CN" w:bidi="ar"/>
              </w:rPr>
              <w:t>差异点</w:t>
            </w:r>
          </w:p>
        </w:tc>
        <w:tc>
          <w:tcPr>
            <w:tcW w:w="0" w:type="auto"/>
            <w:tcBorders>
              <w:top w:val="single" w:color="CCCCCC" w:sz="2" w:space="0"/>
              <w:left w:val="single" w:color="CCCCCC" w:sz="2" w:space="0"/>
              <w:bottom w:val="single" w:color="CCCCCC" w:sz="2" w:space="0"/>
              <w:right w:val="single" w:color="CCCCCC" w:sz="2" w:space="0"/>
            </w:tcBorders>
            <w:shd w:val="clear" w:color="auto" w:fill="F5F5F5"/>
            <w:vAlign w:val="center"/>
          </w:tcPr>
          <w:p>
            <w:pPr>
              <w:keepNext w:val="0"/>
              <w:keepLines w:val="0"/>
              <w:widowControl/>
              <w:suppressLineNumbers w:val="0"/>
              <w:wordWrap w:val="0"/>
              <w:jc w:val="center"/>
              <w:rPr>
                <w:b/>
                <w:bCs/>
              </w:rPr>
            </w:pPr>
            <w:r>
              <w:rPr>
                <w:rFonts w:ascii="宋体" w:hAnsi="宋体" w:eastAsia="宋体" w:cs="宋体"/>
                <w:b/>
                <w:bCs/>
                <w:kern w:val="0"/>
                <w:sz w:val="24"/>
                <w:szCs w:val="24"/>
                <w:lang w:val="en-US" w:eastAsia="zh-CN" w:bidi="ar"/>
              </w:rPr>
              <w:t>技术优势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HJ 192-2015《生态环境状况评价技术规范》</w:t>
            </w:r>
          </w:p>
        </w:tc>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侧重单要素评价，未建立综合指数模型</w:t>
            </w:r>
          </w:p>
        </w:tc>
        <w:tc>
          <w:tcPr>
            <w:tcW w:w="0" w:type="auto"/>
            <w:tcBorders>
              <w:top w:val="single" w:color="CCCCCC" w:sz="2" w:space="0"/>
              <w:left w:val="single" w:color="CCCCCC" w:sz="2" w:space="0"/>
              <w:bottom w:val="single" w:color="CCCCCC" w:sz="2" w:space="0"/>
              <w:right w:val="single" w:color="CCCCCC" w:sz="2" w:space="0"/>
            </w:tcBorders>
            <w:shd w:val="clear" w:color="auto" w:fill="auto"/>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创新三维评价体系（生态-环境-低碳），通过熵权法动态分配权重，提升评价科学性</w:t>
            </w:r>
          </w:p>
        </w:tc>
      </w:tr>
    </w:tbl>
    <w:p>
      <w:pPr>
        <w:ind w:firstLine="640"/>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2. 与地方标准的对比</w:t>
      </w:r>
    </w:p>
    <w:p>
      <w:pPr>
        <w:ind w:firstLine="640"/>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目前尚无相关地方标准。</w:t>
      </w:r>
    </w:p>
    <w:p>
      <w:pPr>
        <w:pStyle w:val="20"/>
        <w:numPr>
          <w:ilvl w:val="0"/>
          <w:numId w:val="1"/>
        </w:numPr>
        <w:ind w:firstLineChars="0"/>
        <w:outlineLvl w:val="0"/>
        <w:rPr>
          <w:rFonts w:ascii="黑体" w:hAnsi="黑体" w:eastAsia="黑体" w:cs="宋体"/>
          <w:bCs/>
          <w:sz w:val="32"/>
          <w:szCs w:val="32"/>
        </w:rPr>
      </w:pPr>
      <w:r>
        <w:rPr>
          <w:rFonts w:hint="eastAsia" w:ascii="黑体" w:hAnsi="黑体" w:eastAsia="黑体" w:cs="宋体"/>
          <w:bCs/>
          <w:sz w:val="32"/>
          <w:szCs w:val="32"/>
        </w:rPr>
        <w:t>主要工作过程</w:t>
      </w:r>
    </w:p>
    <w:p>
      <w:pPr>
        <w:ind w:firstLine="560"/>
        <w:rPr>
          <w:rFonts w:hint="eastAsia" w:ascii="Times New Roman" w:hAnsi="Times New Roman" w:eastAsia="仿宋_GB2312" w:cs="Times New Roman"/>
          <w:b/>
          <w:bCs/>
          <w:i w:val="0"/>
          <w:iCs w:val="0"/>
          <w:caps w:val="0"/>
          <w:color w:val="auto"/>
          <w:spacing w:val="0"/>
          <w:kern w:val="2"/>
          <w:sz w:val="32"/>
          <w:szCs w:val="32"/>
          <w:lang w:val="en-US" w:eastAsia="zh-CN" w:bidi="ar-SA"/>
        </w:rPr>
      </w:pPr>
      <w:r>
        <w:rPr>
          <w:rFonts w:hint="eastAsia" w:ascii="Times New Roman" w:hAnsi="Times New Roman" w:eastAsia="仿宋_GB2312" w:cs="Times New Roman"/>
          <w:b/>
          <w:bCs/>
          <w:i w:val="0"/>
          <w:iCs w:val="0"/>
          <w:caps w:val="0"/>
          <w:color w:val="auto"/>
          <w:spacing w:val="0"/>
          <w:kern w:val="2"/>
          <w:sz w:val="32"/>
          <w:szCs w:val="32"/>
          <w:lang w:val="en-US" w:eastAsia="zh-CN" w:bidi="ar-SA"/>
        </w:rPr>
        <w:t>（一）立项前准备阶段</w:t>
      </w:r>
    </w:p>
    <w:p>
      <w:pPr>
        <w:ind w:firstLine="640"/>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1.成立标准研制工作组</w:t>
      </w:r>
    </w:p>
    <w:p>
      <w:pPr>
        <w:ind w:firstLine="640"/>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为</w:t>
      </w:r>
      <w:r>
        <w:rPr>
          <w:rFonts w:hint="default" w:ascii="Times New Roman" w:hAnsi="Times New Roman" w:eastAsia="仿宋_GB2312" w:cs="Times New Roman"/>
          <w:bCs w:val="0"/>
          <w:i w:val="0"/>
          <w:iCs w:val="0"/>
          <w:caps w:val="0"/>
          <w:color w:val="auto"/>
          <w:spacing w:val="0"/>
          <w:kern w:val="2"/>
          <w:sz w:val="32"/>
          <w:szCs w:val="32"/>
          <w:lang w:val="en-US" w:eastAsia="zh-CN" w:bidi="ar-SA"/>
        </w:rPr>
        <w:t>健全生态环境监测评价、排名、预警和公开制度，改进空气、地表水等环境质量评价排名技术规定，强化地方党政领导追求绿色发展的理念。丽水市生态环境局高度重视并成立标准研制工作组，</w:t>
      </w:r>
      <w:r>
        <w:rPr>
          <w:rFonts w:hint="eastAsia" w:ascii="Times New Roman" w:hAnsi="Times New Roman" w:eastAsia="仿宋_GB2312" w:cs="Times New Roman"/>
          <w:bCs w:val="0"/>
          <w:i w:val="0"/>
          <w:iCs w:val="0"/>
          <w:caps w:val="0"/>
          <w:color w:val="auto"/>
          <w:spacing w:val="0"/>
          <w:kern w:val="2"/>
          <w:sz w:val="32"/>
          <w:szCs w:val="32"/>
          <w:lang w:val="en-US" w:eastAsia="zh-CN" w:bidi="ar-SA"/>
        </w:rPr>
        <w:t>浙江省丽水生态环境监测中心</w:t>
      </w:r>
      <w:r>
        <w:rPr>
          <w:rFonts w:hint="default" w:ascii="Times New Roman" w:hAnsi="Times New Roman" w:eastAsia="仿宋_GB2312" w:cs="Times New Roman"/>
          <w:bCs w:val="0"/>
          <w:i w:val="0"/>
          <w:iCs w:val="0"/>
          <w:caps w:val="0"/>
          <w:color w:val="auto"/>
          <w:spacing w:val="0"/>
          <w:kern w:val="2"/>
          <w:sz w:val="32"/>
          <w:szCs w:val="32"/>
          <w:lang w:val="en-US" w:eastAsia="zh-CN" w:bidi="ar-SA"/>
        </w:rPr>
        <w:t>作为第一起草单位，</w:t>
      </w: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中国环境监测总站</w:t>
      </w:r>
      <w:r>
        <w:rPr>
          <w:rFonts w:hint="default" w:ascii="Times New Roman" w:hAnsi="Times New Roman" w:eastAsia="仿宋_GB2312" w:cs="Times New Roman"/>
          <w:bCs w:val="0"/>
          <w:i w:val="0"/>
          <w:iCs w:val="0"/>
          <w:caps w:val="0"/>
          <w:color w:val="auto"/>
          <w:spacing w:val="0"/>
          <w:kern w:val="2"/>
          <w:sz w:val="32"/>
          <w:szCs w:val="32"/>
          <w:lang w:val="en-US" w:eastAsia="zh-CN" w:bidi="ar-SA"/>
        </w:rPr>
        <w:t>作为参与起草单位。</w:t>
      </w:r>
    </w:p>
    <w:p>
      <w:pPr>
        <w:ind w:firstLine="640"/>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2.材料收集与实地调研</w:t>
      </w:r>
    </w:p>
    <w:p>
      <w:pPr>
        <w:ind w:firstLine="560"/>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开展广泛的文献调研，为提高本标准的适用性和规范性，标准研制工作组</w:t>
      </w:r>
      <w:r>
        <w:rPr>
          <w:rFonts w:hint="eastAsia" w:ascii="Times New Roman" w:hAnsi="Times New Roman" w:eastAsia="仿宋_GB2312" w:cs="Times New Roman"/>
          <w:bCs w:val="0"/>
          <w:i w:val="0"/>
          <w:iCs w:val="0"/>
          <w:caps w:val="0"/>
          <w:color w:val="auto"/>
          <w:spacing w:val="0"/>
          <w:kern w:val="2"/>
          <w:sz w:val="32"/>
          <w:szCs w:val="32"/>
          <w:lang w:val="en-US" w:eastAsia="zh-CN" w:bidi="ar-SA"/>
        </w:rPr>
        <w:t>建立了丽水市生态环境质量综合指数指标库，综合考虑了丽水市自然环境状况和社会经济情况，构成丽水市生态环境质量综合指数指标体系。</w:t>
      </w:r>
      <w:r>
        <w:rPr>
          <w:rFonts w:hint="default" w:ascii="Times New Roman" w:hAnsi="Times New Roman" w:eastAsia="仿宋_GB2312" w:cs="Times New Roman"/>
          <w:bCs w:val="0"/>
          <w:i w:val="0"/>
          <w:iCs w:val="0"/>
          <w:caps w:val="0"/>
          <w:color w:val="auto"/>
          <w:spacing w:val="0"/>
          <w:kern w:val="2"/>
          <w:sz w:val="32"/>
          <w:szCs w:val="32"/>
          <w:lang w:val="en-US" w:eastAsia="zh-CN" w:bidi="ar-SA"/>
        </w:rPr>
        <w:t>针对生态环境质量综合指数测算方法进行了科学性、可靠性、准确性、完整性的研究。</w:t>
      </w:r>
    </w:p>
    <w:p>
      <w:pPr>
        <w:ind w:firstLine="560"/>
        <w:rPr>
          <w:rFonts w:hint="eastAsia" w:ascii="Times New Roman" w:hAnsi="Times New Roman" w:eastAsia="仿宋_GB2312" w:cs="Times New Roman"/>
          <w:b/>
          <w:bCs/>
          <w:i w:val="0"/>
          <w:iCs w:val="0"/>
          <w:caps w:val="0"/>
          <w:color w:val="auto"/>
          <w:spacing w:val="0"/>
          <w:kern w:val="2"/>
          <w:sz w:val="32"/>
          <w:szCs w:val="32"/>
          <w:lang w:val="en-US" w:eastAsia="zh-CN" w:bidi="ar-SA"/>
        </w:rPr>
      </w:pPr>
      <w:r>
        <w:rPr>
          <w:rFonts w:hint="eastAsia" w:ascii="Times New Roman" w:hAnsi="Times New Roman" w:eastAsia="仿宋_GB2312" w:cs="Times New Roman"/>
          <w:b/>
          <w:bCs/>
          <w:i w:val="0"/>
          <w:iCs w:val="0"/>
          <w:caps w:val="0"/>
          <w:color w:val="auto"/>
          <w:spacing w:val="0"/>
          <w:kern w:val="2"/>
          <w:sz w:val="32"/>
          <w:szCs w:val="32"/>
          <w:lang w:val="en-US" w:eastAsia="zh-CN" w:bidi="ar-SA"/>
        </w:rPr>
        <w:t>（二）立项阶段</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1.申报</w:t>
      </w:r>
    </w:p>
    <w:p>
      <w:pPr>
        <w:ind w:firstLine="560"/>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完成标准初稿和立项建议书的编制,并向丽水市市场监督管理局提交立项申请标准初稿和立项建议书</w:t>
      </w:r>
      <w:r>
        <w:rPr>
          <w:rFonts w:hint="eastAsia" w:ascii="Times New Roman" w:hAnsi="Times New Roman" w:eastAsia="仿宋_GB2312" w:cs="Times New Roman"/>
          <w:bCs w:val="0"/>
          <w:i w:val="0"/>
          <w:iCs w:val="0"/>
          <w:caps w:val="0"/>
          <w:color w:val="auto"/>
          <w:spacing w:val="0"/>
          <w:kern w:val="2"/>
          <w:sz w:val="32"/>
          <w:szCs w:val="32"/>
          <w:lang w:val="en-US" w:eastAsia="zh-CN" w:bidi="ar-SA"/>
        </w:rPr>
        <w:t>。</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2.评审</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2024年5月9日，通过了丽水市市场监督管理局组织召开了市级地方标准立项评审会。</w:t>
      </w:r>
    </w:p>
    <w:p>
      <w:pPr>
        <w:ind w:firstLine="560"/>
        <w:rPr>
          <w:rFonts w:hint="eastAsia" w:ascii="Times New Roman" w:hAnsi="Times New Roman" w:eastAsia="仿宋_GB2312" w:cs="Times New Roman"/>
          <w:b/>
          <w:bCs/>
          <w:i w:val="0"/>
          <w:iCs w:val="0"/>
          <w:caps w:val="0"/>
          <w:color w:val="auto"/>
          <w:spacing w:val="0"/>
          <w:kern w:val="2"/>
          <w:sz w:val="32"/>
          <w:szCs w:val="32"/>
          <w:lang w:val="en-US" w:eastAsia="zh-CN" w:bidi="ar-SA"/>
        </w:rPr>
      </w:pPr>
      <w:r>
        <w:rPr>
          <w:rFonts w:hint="eastAsia" w:ascii="Times New Roman" w:hAnsi="Times New Roman" w:eastAsia="仿宋_GB2312" w:cs="Times New Roman"/>
          <w:b/>
          <w:bCs/>
          <w:i w:val="0"/>
          <w:iCs w:val="0"/>
          <w:caps w:val="0"/>
          <w:color w:val="auto"/>
          <w:spacing w:val="0"/>
          <w:kern w:val="2"/>
          <w:sz w:val="32"/>
          <w:szCs w:val="32"/>
          <w:lang w:val="en-US" w:eastAsia="zh-CN" w:bidi="ar-SA"/>
        </w:rPr>
        <w:t>（三）标准起草阶段</w:t>
      </w:r>
    </w:p>
    <w:p>
      <w:pPr>
        <w:ind w:firstLine="560"/>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default" w:ascii="Times New Roman" w:hAnsi="Times New Roman" w:eastAsia="仿宋_GB2312" w:cs="Times New Roman"/>
          <w:bCs w:val="0"/>
          <w:i w:val="0"/>
          <w:iCs w:val="0"/>
          <w:caps w:val="0"/>
          <w:color w:val="auto"/>
          <w:spacing w:val="0"/>
          <w:kern w:val="2"/>
          <w:sz w:val="32"/>
          <w:szCs w:val="32"/>
          <w:lang w:val="en-US" w:eastAsia="zh-CN" w:bidi="ar-SA"/>
        </w:rPr>
        <w:t>开展广泛的文献调研，为提高本标准的适用性和规范性，标准研制工作组</w:t>
      </w:r>
      <w:r>
        <w:rPr>
          <w:rFonts w:hint="eastAsia" w:ascii="Times New Roman" w:hAnsi="Times New Roman" w:eastAsia="仿宋_GB2312" w:cs="Times New Roman"/>
          <w:bCs w:val="0"/>
          <w:i w:val="0"/>
          <w:iCs w:val="0"/>
          <w:caps w:val="0"/>
          <w:color w:val="auto"/>
          <w:spacing w:val="0"/>
          <w:kern w:val="2"/>
          <w:sz w:val="32"/>
          <w:szCs w:val="32"/>
          <w:lang w:val="en-US" w:eastAsia="zh-CN" w:bidi="ar-SA"/>
        </w:rPr>
        <w:t>建立了丽水市生态环境质量综合指数指标库，综合考虑了丽水市自然环境状况和社会经济情况，构成丽水市生态环境质量综合指数指标体系。</w:t>
      </w:r>
      <w:r>
        <w:rPr>
          <w:rFonts w:hint="default" w:ascii="Times New Roman" w:hAnsi="Times New Roman" w:eastAsia="仿宋_GB2312" w:cs="Times New Roman"/>
          <w:bCs w:val="0"/>
          <w:i w:val="0"/>
          <w:iCs w:val="0"/>
          <w:caps w:val="0"/>
          <w:color w:val="auto"/>
          <w:spacing w:val="0"/>
          <w:kern w:val="2"/>
          <w:sz w:val="32"/>
          <w:szCs w:val="32"/>
          <w:lang w:val="en-US" w:eastAsia="zh-CN" w:bidi="ar-SA"/>
        </w:rPr>
        <w:t>针对生态环境质量综合指数测算方法进行了科学性、可靠性、准确性、完整性的研究</w:t>
      </w:r>
      <w:r>
        <w:rPr>
          <w:rFonts w:hint="eastAsia" w:ascii="Times New Roman" w:hAnsi="Times New Roman" w:eastAsia="仿宋_GB2312" w:cs="Times New Roman"/>
          <w:bCs w:val="0"/>
          <w:i w:val="0"/>
          <w:iCs w:val="0"/>
          <w:caps w:val="0"/>
          <w:color w:val="auto"/>
          <w:spacing w:val="0"/>
          <w:kern w:val="2"/>
          <w:sz w:val="32"/>
          <w:szCs w:val="32"/>
          <w:lang w:val="en-US" w:eastAsia="zh-CN" w:bidi="ar-SA"/>
        </w:rPr>
        <w:t>，编制完成地方标准征求意见稿。</w:t>
      </w:r>
    </w:p>
    <w:p>
      <w:pPr>
        <w:ind w:firstLine="560"/>
        <w:rPr>
          <w:rFonts w:hint="eastAsia" w:ascii="Times New Roman" w:hAnsi="Times New Roman" w:eastAsia="仿宋_GB2312" w:cs="Times New Roman"/>
          <w:b/>
          <w:bCs/>
          <w:i w:val="0"/>
          <w:iCs w:val="0"/>
          <w:caps w:val="0"/>
          <w:color w:val="auto"/>
          <w:spacing w:val="0"/>
          <w:kern w:val="2"/>
          <w:sz w:val="32"/>
          <w:szCs w:val="32"/>
          <w:lang w:val="en-US" w:eastAsia="zh-CN" w:bidi="ar-SA"/>
        </w:rPr>
      </w:pPr>
      <w:r>
        <w:rPr>
          <w:rFonts w:hint="eastAsia" w:ascii="Times New Roman" w:hAnsi="Times New Roman" w:eastAsia="仿宋_GB2312" w:cs="Times New Roman"/>
          <w:b/>
          <w:bCs/>
          <w:i w:val="0"/>
          <w:iCs w:val="0"/>
          <w:caps w:val="0"/>
          <w:color w:val="auto"/>
          <w:spacing w:val="0"/>
          <w:kern w:val="2"/>
          <w:sz w:val="32"/>
          <w:szCs w:val="32"/>
          <w:lang w:val="en-US" w:eastAsia="zh-CN" w:bidi="ar-SA"/>
        </w:rPr>
        <w:t>（四）征求意见阶段</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1.意见征集</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向28家单位发送征求意见函</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8"/>
        <w:gridCol w:w="2008"/>
        <w:gridCol w:w="2277"/>
        <w:gridCol w:w="3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2"/>
              <w:jc w:val="center"/>
              <w:rPr>
                <w:rFonts w:hint="eastAsia"/>
                <w:color w:val="auto"/>
                <w:sz w:val="21"/>
                <w:szCs w:val="21"/>
                <w:vertAlign w:val="baseline"/>
                <w:lang w:val="en-US" w:eastAsia="zh-CN"/>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反馈单位类型</w:t>
            </w:r>
          </w:p>
        </w:tc>
        <w:tc>
          <w:tcPr>
            <w:tcW w:w="940" w:type="pct"/>
            <w:vAlign w:val="center"/>
          </w:tcPr>
          <w:p>
            <w:pPr>
              <w:pStyle w:val="2"/>
              <w:jc w:val="center"/>
              <w:rPr>
                <w:rFonts w:hint="eastAsia"/>
                <w:color w:val="auto"/>
                <w:sz w:val="21"/>
                <w:szCs w:val="21"/>
                <w:vertAlign w:val="baseline"/>
                <w:lang w:val="en-US" w:eastAsia="zh-CN"/>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意见数量</w:t>
            </w:r>
          </w:p>
        </w:tc>
        <w:tc>
          <w:tcPr>
            <w:tcW w:w="1066" w:type="pct"/>
            <w:vAlign w:val="center"/>
          </w:tcPr>
          <w:p>
            <w:pPr>
              <w:pStyle w:val="2"/>
              <w:jc w:val="center"/>
              <w:rPr>
                <w:rFonts w:hint="eastAsia"/>
                <w:color w:val="auto"/>
                <w:sz w:val="21"/>
                <w:szCs w:val="21"/>
                <w:vertAlign w:val="baseline"/>
                <w:lang w:val="en-US" w:eastAsia="zh-CN"/>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采纳率</w:t>
            </w:r>
          </w:p>
        </w:tc>
        <w:tc>
          <w:tcPr>
            <w:tcW w:w="1743" w:type="pct"/>
            <w:vAlign w:val="center"/>
          </w:tcPr>
          <w:p>
            <w:pPr>
              <w:pStyle w:val="2"/>
              <w:jc w:val="center"/>
              <w:rPr>
                <w:rFonts w:hint="eastAsia"/>
                <w:color w:val="auto"/>
                <w:sz w:val="21"/>
                <w:szCs w:val="21"/>
                <w:vertAlign w:val="baseline"/>
                <w:lang w:val="en-US" w:eastAsia="zh-CN"/>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2"/>
              <w:jc w:val="center"/>
              <w:rPr>
                <w:rFonts w:hint="eastAsia"/>
                <w:color w:val="auto"/>
                <w:sz w:val="21"/>
                <w:szCs w:val="21"/>
                <w:vertAlign w:val="baseline"/>
                <w:lang w:val="en-US" w:eastAsia="zh-CN"/>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生态环境监测机构</w:t>
            </w:r>
          </w:p>
        </w:tc>
        <w:tc>
          <w:tcPr>
            <w:tcW w:w="940" w:type="pct"/>
            <w:vAlign w:val="center"/>
          </w:tcPr>
          <w:p>
            <w:pPr>
              <w:pStyle w:val="2"/>
              <w:jc w:val="center"/>
              <w:rPr>
                <w:rFonts w:hint="eastAsia"/>
                <w:color w:val="auto"/>
                <w:sz w:val="21"/>
                <w:szCs w:val="21"/>
                <w:vertAlign w:val="baseline"/>
                <w:lang w:val="en-US" w:eastAsia="zh-CN"/>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12条</w:t>
            </w:r>
          </w:p>
        </w:tc>
        <w:tc>
          <w:tcPr>
            <w:tcW w:w="1066" w:type="pct"/>
            <w:shd w:val="clear" w:color="auto" w:fill="auto"/>
            <w:vAlign w:val="center"/>
          </w:tcPr>
          <w:p>
            <w:pPr>
              <w:pStyle w:val="2"/>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100%</w:t>
            </w:r>
          </w:p>
        </w:tc>
        <w:tc>
          <w:tcPr>
            <w:tcW w:w="1743" w:type="pct"/>
            <w:shd w:val="clear" w:color="auto" w:fill="auto"/>
            <w:vAlign w:val="center"/>
          </w:tcPr>
          <w:p>
            <w:pPr>
              <w:pStyle w:val="2"/>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统一数据采集模板格式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2"/>
              <w:jc w:val="center"/>
              <w:rPr>
                <w:rFonts w:hint="eastAsia"/>
                <w:color w:val="auto"/>
                <w:sz w:val="21"/>
                <w:szCs w:val="21"/>
                <w:vertAlign w:val="baseline"/>
                <w:lang w:val="en-US" w:eastAsia="zh-CN"/>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高校科研院所</w:t>
            </w:r>
          </w:p>
        </w:tc>
        <w:tc>
          <w:tcPr>
            <w:tcW w:w="940" w:type="pct"/>
            <w:vAlign w:val="center"/>
          </w:tcPr>
          <w:p>
            <w:pPr>
              <w:pStyle w:val="2"/>
              <w:jc w:val="center"/>
              <w:rPr>
                <w:rFonts w:hint="eastAsia" w:ascii="Times New Roman" w:hAnsi="Times New Roman" w:eastAsia="仿宋_GB2312" w:cs="Times New Roman"/>
                <w:bCs w:val="0"/>
                <w:i w:val="0"/>
                <w:iCs w:val="0"/>
                <w:caps w:val="0"/>
                <w:color w:val="auto"/>
                <w:spacing w:val="0"/>
                <w:kern w:val="2"/>
                <w:sz w:val="21"/>
                <w:szCs w:val="21"/>
                <w:lang w:val="en-US" w:eastAsia="zh-CN" w:bidi="ar-SA"/>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8条</w:t>
            </w:r>
          </w:p>
        </w:tc>
        <w:tc>
          <w:tcPr>
            <w:tcW w:w="1066" w:type="pct"/>
            <w:vAlign w:val="center"/>
          </w:tcPr>
          <w:p>
            <w:pPr>
              <w:pStyle w:val="2"/>
              <w:jc w:val="center"/>
              <w:rPr>
                <w:rFonts w:hint="eastAsia" w:ascii="Times New Roman" w:hAnsi="Times New Roman" w:eastAsia="仿宋_GB2312" w:cs="Times New Roman"/>
                <w:bCs w:val="0"/>
                <w:i w:val="0"/>
                <w:iCs w:val="0"/>
                <w:caps w:val="0"/>
                <w:color w:val="auto"/>
                <w:spacing w:val="0"/>
                <w:kern w:val="2"/>
                <w:sz w:val="21"/>
                <w:szCs w:val="21"/>
                <w:lang w:val="en-US" w:eastAsia="zh-CN" w:bidi="ar-SA"/>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75%</w:t>
            </w:r>
          </w:p>
        </w:tc>
        <w:tc>
          <w:tcPr>
            <w:tcW w:w="1743" w:type="pct"/>
            <w:vAlign w:val="center"/>
          </w:tcPr>
          <w:p>
            <w:pPr>
              <w:pStyle w:val="2"/>
              <w:jc w:val="center"/>
              <w:rPr>
                <w:rFonts w:hint="eastAsia"/>
                <w:color w:val="auto"/>
                <w:sz w:val="21"/>
                <w:szCs w:val="21"/>
                <w:vertAlign w:val="baseline"/>
                <w:lang w:val="en-US" w:eastAsia="zh-CN"/>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优化熵权法计算参数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pct"/>
            <w:vAlign w:val="center"/>
          </w:tcPr>
          <w:p>
            <w:pPr>
              <w:pStyle w:val="2"/>
              <w:jc w:val="center"/>
              <w:rPr>
                <w:rFonts w:hint="eastAsia" w:ascii="Times New Roman" w:hAnsi="Times New Roman" w:eastAsia="仿宋_GB2312" w:cs="Times New Roman"/>
                <w:bCs w:val="0"/>
                <w:i w:val="0"/>
                <w:iCs w:val="0"/>
                <w:caps w:val="0"/>
                <w:color w:val="auto"/>
                <w:spacing w:val="0"/>
                <w:kern w:val="2"/>
                <w:sz w:val="21"/>
                <w:szCs w:val="21"/>
                <w:lang w:val="en-US" w:eastAsia="zh-CN" w:bidi="ar-SA"/>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基层生态环境部门</w:t>
            </w:r>
          </w:p>
        </w:tc>
        <w:tc>
          <w:tcPr>
            <w:tcW w:w="940" w:type="pct"/>
            <w:vAlign w:val="center"/>
          </w:tcPr>
          <w:p>
            <w:pPr>
              <w:pStyle w:val="2"/>
              <w:jc w:val="center"/>
              <w:rPr>
                <w:rFonts w:hint="eastAsia" w:ascii="Times New Roman" w:hAnsi="Times New Roman" w:eastAsia="仿宋_GB2312" w:cs="Times New Roman"/>
                <w:bCs w:val="0"/>
                <w:i w:val="0"/>
                <w:iCs w:val="0"/>
                <w:caps w:val="0"/>
                <w:color w:val="auto"/>
                <w:spacing w:val="0"/>
                <w:kern w:val="2"/>
                <w:sz w:val="21"/>
                <w:szCs w:val="21"/>
                <w:lang w:val="en-US" w:eastAsia="zh-CN" w:bidi="ar-SA"/>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15条</w:t>
            </w:r>
          </w:p>
        </w:tc>
        <w:tc>
          <w:tcPr>
            <w:tcW w:w="1066" w:type="pct"/>
            <w:vAlign w:val="center"/>
          </w:tcPr>
          <w:p>
            <w:pPr>
              <w:pStyle w:val="2"/>
              <w:jc w:val="center"/>
              <w:rPr>
                <w:rFonts w:hint="eastAsia" w:ascii="Times New Roman" w:hAnsi="Times New Roman" w:eastAsia="仿宋_GB2312" w:cs="Times New Roman"/>
                <w:bCs w:val="0"/>
                <w:i w:val="0"/>
                <w:iCs w:val="0"/>
                <w:caps w:val="0"/>
                <w:color w:val="auto"/>
                <w:spacing w:val="0"/>
                <w:kern w:val="2"/>
                <w:sz w:val="21"/>
                <w:szCs w:val="21"/>
                <w:lang w:val="en-US" w:eastAsia="zh-CN" w:bidi="ar-SA"/>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60%</w:t>
            </w:r>
          </w:p>
        </w:tc>
        <w:tc>
          <w:tcPr>
            <w:tcW w:w="1743" w:type="pct"/>
            <w:vAlign w:val="center"/>
          </w:tcPr>
          <w:p>
            <w:pPr>
              <w:pStyle w:val="2"/>
              <w:jc w:val="center"/>
              <w:rPr>
                <w:rFonts w:hint="eastAsia" w:ascii="Times New Roman" w:hAnsi="Times New Roman" w:eastAsia="仿宋_GB2312" w:cs="Times New Roman"/>
                <w:bCs w:val="0"/>
                <w:i w:val="0"/>
                <w:iCs w:val="0"/>
                <w:caps w:val="0"/>
                <w:color w:val="auto"/>
                <w:spacing w:val="0"/>
                <w:kern w:val="2"/>
                <w:sz w:val="21"/>
                <w:szCs w:val="21"/>
                <w:lang w:val="en-US" w:eastAsia="zh-CN" w:bidi="ar-SA"/>
              </w:rPr>
            </w:pPr>
            <w:r>
              <w:rPr>
                <w:rFonts w:hint="eastAsia" w:ascii="Times New Roman" w:hAnsi="Times New Roman" w:eastAsia="仿宋_GB2312" w:cs="Times New Roman"/>
                <w:bCs w:val="0"/>
                <w:i w:val="0"/>
                <w:iCs w:val="0"/>
                <w:caps w:val="0"/>
                <w:color w:val="auto"/>
                <w:spacing w:val="0"/>
                <w:kern w:val="2"/>
                <w:sz w:val="21"/>
                <w:szCs w:val="21"/>
                <w:lang w:val="en-US" w:eastAsia="zh-CN" w:bidi="ar-SA"/>
              </w:rPr>
              <w:t>增设替代性指标（如无人机巡检）</w:t>
            </w:r>
          </w:p>
        </w:tc>
      </w:tr>
    </w:tbl>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2.征求专家意见</w:t>
      </w:r>
    </w:p>
    <w:p>
      <w:pPr>
        <w:ind w:firstLine="560"/>
        <w:rPr>
          <w:rFonts w:hint="default" w:ascii="Times New Roman" w:hAnsi="Times New Roman" w:eastAsia="仿宋_GB2312" w:cs="Times New Roman"/>
          <w:bCs w:val="0"/>
          <w:i w:val="0"/>
          <w:iCs w:val="0"/>
          <w:cap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Cs w:val="0"/>
          <w:i w:val="0"/>
          <w:iCs w:val="0"/>
          <w:caps w:val="0"/>
          <w:color w:val="000000" w:themeColor="text1"/>
          <w:spacing w:val="0"/>
          <w:kern w:val="2"/>
          <w:sz w:val="32"/>
          <w:szCs w:val="32"/>
          <w:lang w:val="en-US" w:eastAsia="zh-CN" w:bidi="ar-SA"/>
          <w14:textFill>
            <w14:solidFill>
              <w14:schemeClr w14:val="tx1"/>
            </w14:solidFill>
          </w14:textFill>
        </w:rPr>
        <w:t>2025年1月20日，标准起草单位组织召开了标准专家意见征求会，邀请专家4人，收集了意见。</w:t>
      </w:r>
    </w:p>
    <w:p>
      <w:pPr>
        <w:ind w:firstLine="560"/>
        <w:rPr>
          <w:rFonts w:hint="eastAsia" w:ascii="Times New Roman" w:hAnsi="Times New Roman" w:eastAsia="仿宋_GB2312" w:cs="Times New Roman"/>
          <w:b/>
          <w:bCs/>
          <w:i w:val="0"/>
          <w:iCs w:val="0"/>
          <w:caps w:val="0"/>
          <w:color w:val="auto"/>
          <w:spacing w:val="0"/>
          <w:kern w:val="2"/>
          <w:sz w:val="32"/>
          <w:szCs w:val="32"/>
          <w:lang w:val="en-US" w:eastAsia="zh-CN" w:bidi="ar-SA"/>
        </w:rPr>
      </w:pPr>
      <w:r>
        <w:rPr>
          <w:rFonts w:hint="eastAsia" w:ascii="Times New Roman" w:hAnsi="Times New Roman" w:eastAsia="仿宋_GB2312" w:cs="Times New Roman"/>
          <w:b/>
          <w:bCs/>
          <w:i w:val="0"/>
          <w:iCs w:val="0"/>
          <w:caps w:val="0"/>
          <w:color w:val="auto"/>
          <w:spacing w:val="0"/>
          <w:kern w:val="2"/>
          <w:sz w:val="32"/>
          <w:szCs w:val="32"/>
          <w:lang w:val="en-US" w:eastAsia="zh-CN" w:bidi="ar-SA"/>
        </w:rPr>
        <w:t>（五）评审与发布阶段</w:t>
      </w:r>
    </w:p>
    <w:p>
      <w:pPr>
        <w:ind w:firstLine="560"/>
        <w:rPr>
          <w:rFonts w:hint="eastAsia" w:ascii="Times New Roman" w:hAnsi="Times New Roman" w:eastAsia="仿宋_GB2312" w:cs="Times New Roman"/>
          <w:bCs w:val="0"/>
          <w:i w:val="0"/>
          <w:iCs w:val="0"/>
          <w:cap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Cs w:val="0"/>
          <w:i w:val="0"/>
          <w:iCs w:val="0"/>
          <w:caps w:val="0"/>
          <w:color w:val="000000" w:themeColor="text1"/>
          <w:spacing w:val="0"/>
          <w:kern w:val="2"/>
          <w:sz w:val="32"/>
          <w:szCs w:val="32"/>
          <w:lang w:val="en-US" w:eastAsia="zh-CN" w:bidi="ar-SA"/>
          <w14:textFill>
            <w14:solidFill>
              <w14:schemeClr w14:val="tx1"/>
            </w14:solidFill>
          </w14:textFill>
        </w:rPr>
        <w:t>1.专家评审会</w:t>
      </w:r>
    </w:p>
    <w:p>
      <w:pPr>
        <w:ind w:firstLine="560"/>
        <w:rPr>
          <w:rFonts w:hint="eastAsia" w:ascii="Times New Roman" w:hAnsi="Times New Roman" w:eastAsia="仿宋_GB2312" w:cs="Times New Roman"/>
          <w:bCs w:val="0"/>
          <w:i w:val="0"/>
          <w:iCs w:val="0"/>
          <w:cap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仿宋_GB2312" w:cs="Times New Roman"/>
          <w:bCs w:val="0"/>
          <w:i w:val="0"/>
          <w:iCs w:val="0"/>
          <w:caps w:val="0"/>
          <w:color w:val="000000" w:themeColor="text1"/>
          <w:spacing w:val="0"/>
          <w:kern w:val="2"/>
          <w:sz w:val="32"/>
          <w:szCs w:val="32"/>
          <w:lang w:val="en-US" w:eastAsia="zh-CN" w:bidi="ar-SA"/>
          <w14:textFill>
            <w14:solidFill>
              <w14:schemeClr w14:val="tx1"/>
            </w14:solidFill>
          </w14:textFill>
        </w:rPr>
        <w:t>2.报批与发布</w:t>
      </w:r>
    </w:p>
    <w:p>
      <w:pPr>
        <w:pStyle w:val="20"/>
        <w:numPr>
          <w:ilvl w:val="0"/>
          <w:numId w:val="1"/>
        </w:numPr>
        <w:ind w:firstLineChars="0"/>
        <w:outlineLvl w:val="0"/>
        <w:rPr>
          <w:rFonts w:ascii="黑体" w:hAnsi="黑体" w:eastAsia="黑体" w:cs="宋体"/>
          <w:bCs/>
          <w:sz w:val="32"/>
          <w:szCs w:val="32"/>
        </w:rPr>
      </w:pPr>
      <w:r>
        <w:rPr>
          <w:rFonts w:hint="eastAsia" w:ascii="黑体" w:hAnsi="黑体" w:eastAsia="黑体" w:cs="宋体"/>
          <w:bCs/>
          <w:sz w:val="32"/>
          <w:szCs w:val="32"/>
        </w:rPr>
        <w:t>主要技术内容确定依据及说明★</w:t>
      </w:r>
    </w:p>
    <w:p>
      <w:pPr>
        <w:bidi w:val="0"/>
        <w:ind w:firstLine="642" w:firstLineChars="200"/>
        <w:rPr>
          <w:rFonts w:hint="default" w:ascii="仿宋" w:hAnsi="仿宋" w:eastAsia="仿宋" w:cs="仿宋"/>
          <w:b/>
          <w:bCs w:val="0"/>
          <w:color w:val="auto"/>
          <w:kern w:val="0"/>
          <w:sz w:val="32"/>
          <w:szCs w:val="32"/>
          <w:lang w:val="en-US" w:eastAsia="zh-CN" w:bidi="ar-SA"/>
        </w:rPr>
      </w:pPr>
      <w:r>
        <w:rPr>
          <w:rFonts w:hint="eastAsia" w:ascii="仿宋" w:hAnsi="仿宋" w:eastAsia="仿宋" w:cs="仿宋"/>
          <w:b/>
          <w:bCs w:val="0"/>
          <w:color w:val="auto"/>
          <w:kern w:val="0"/>
          <w:sz w:val="32"/>
          <w:szCs w:val="32"/>
          <w:lang w:val="en-US" w:eastAsia="zh-CN" w:bidi="ar-SA"/>
        </w:rPr>
        <w:t>（一）指标体系的构建</w:t>
      </w:r>
    </w:p>
    <w:p>
      <w:pPr>
        <w:bidi w:val="0"/>
        <w:ind w:firstLine="642" w:firstLineChars="200"/>
        <w:rPr>
          <w:rFonts w:hint="default" w:ascii="仿宋" w:hAnsi="仿宋" w:eastAsia="仿宋" w:cs="仿宋"/>
          <w:b/>
          <w:bCs w:val="0"/>
          <w:color w:val="auto"/>
          <w:kern w:val="0"/>
          <w:sz w:val="32"/>
          <w:szCs w:val="32"/>
          <w:lang w:val="en-US" w:eastAsia="zh-CN" w:bidi="ar-SA"/>
        </w:rPr>
      </w:pPr>
      <w:r>
        <w:rPr>
          <w:rFonts w:hint="eastAsia" w:ascii="仿宋" w:hAnsi="仿宋" w:eastAsia="仿宋" w:cs="仿宋"/>
          <w:b/>
          <w:bCs w:val="0"/>
          <w:color w:val="auto"/>
          <w:kern w:val="0"/>
          <w:sz w:val="32"/>
          <w:szCs w:val="32"/>
          <w:lang w:val="en-US" w:eastAsia="zh-CN" w:bidi="ar-SA"/>
        </w:rPr>
        <w:t>1.生态环境质量综合指数指标库</w:t>
      </w:r>
    </w:p>
    <w:p>
      <w:pPr>
        <w:bidi w:val="0"/>
        <w:ind w:firstLine="640" w:firstLineChars="200"/>
        <w:rPr>
          <w:rFonts w:hint="default"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参考生态环境质量综合评级相关研究，项目组基于长期研究基础，结合多项国家标准规定、评价办法等，</w:t>
      </w:r>
      <w:r>
        <w:rPr>
          <w:rFonts w:hint="default" w:ascii="仿宋" w:hAnsi="仿宋" w:eastAsia="仿宋" w:cs="仿宋"/>
          <w:b w:val="0"/>
          <w:bCs/>
          <w:color w:val="auto"/>
          <w:kern w:val="0"/>
          <w:sz w:val="32"/>
          <w:szCs w:val="32"/>
          <w:lang w:val="en-US" w:eastAsia="zh-CN" w:bidi="ar-SA"/>
        </w:rPr>
        <w:t>综合考虑了生态、环境空气、水环境、土壤、声环境、饮用水、绿色低碳、辐射</w:t>
      </w:r>
      <w:r>
        <w:rPr>
          <w:rFonts w:hint="eastAsia" w:ascii="仿宋" w:hAnsi="仿宋" w:eastAsia="仿宋" w:cs="仿宋"/>
          <w:b w:val="0"/>
          <w:bCs/>
          <w:color w:val="auto"/>
          <w:kern w:val="0"/>
          <w:sz w:val="32"/>
          <w:szCs w:val="32"/>
          <w:lang w:val="en-US" w:eastAsia="zh-CN" w:bidi="ar-SA"/>
        </w:rPr>
        <w:t>和污染排放</w:t>
      </w:r>
      <w:r>
        <w:rPr>
          <w:rFonts w:hint="default" w:ascii="仿宋" w:hAnsi="仿宋" w:eastAsia="仿宋" w:cs="仿宋"/>
          <w:b w:val="0"/>
          <w:bCs/>
          <w:color w:val="auto"/>
          <w:kern w:val="0"/>
          <w:sz w:val="32"/>
          <w:szCs w:val="32"/>
          <w:lang w:val="en-US" w:eastAsia="zh-CN" w:bidi="ar-SA"/>
        </w:rPr>
        <w:t>等</w:t>
      </w:r>
      <w:r>
        <w:rPr>
          <w:rFonts w:hint="eastAsia" w:ascii="仿宋" w:hAnsi="仿宋" w:eastAsia="仿宋" w:cs="仿宋"/>
          <w:b w:val="0"/>
          <w:bCs/>
          <w:color w:val="auto"/>
          <w:kern w:val="0"/>
          <w:sz w:val="32"/>
          <w:szCs w:val="32"/>
          <w:lang w:val="en-US" w:eastAsia="zh-CN" w:bidi="ar-SA"/>
        </w:rPr>
        <w:t>多方面内容，构建了生态环境质量综合指数指标库，该指标库旨在全面反映生态环境质量状况，可为具体生态环境质量综合指数指标体系构建提供研究基础。</w:t>
      </w:r>
    </w:p>
    <w:p>
      <w:pPr>
        <w:pStyle w:val="27"/>
        <w:rPr>
          <w:sz w:val="32"/>
          <w:szCs w:val="32"/>
        </w:rPr>
      </w:pPr>
      <w:r>
        <w:rPr>
          <w:rFonts w:hint="eastAsia"/>
          <w:sz w:val="32"/>
          <w:szCs w:val="32"/>
        </w:rPr>
        <w:t>表</w:t>
      </w:r>
      <w:r>
        <w:rPr>
          <w:rFonts w:hint="eastAsia"/>
          <w:sz w:val="32"/>
          <w:szCs w:val="32"/>
          <w:lang w:val="en-US" w:eastAsia="zh-CN"/>
        </w:rPr>
        <w:t>5-1</w:t>
      </w:r>
      <w:r>
        <w:rPr>
          <w:rFonts w:hint="eastAsia"/>
          <w:sz w:val="32"/>
          <w:szCs w:val="32"/>
        </w:rPr>
        <w:t>生态环境质量综合指数数据库</w:t>
      </w:r>
    </w:p>
    <w:tbl>
      <w:tblPr>
        <w:tblStyle w:val="15"/>
        <w:tblW w:w="495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641"/>
        <w:gridCol w:w="1140"/>
        <w:gridCol w:w="869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tblHeader/>
          <w:jc w:val="center"/>
        </w:trPr>
        <w:tc>
          <w:tcPr>
            <w:tcW w:w="850" w:type="pct"/>
            <w:gridSpan w:val="2"/>
            <w:shd w:val="clear" w:color="auto" w:fill="D8D8D8"/>
            <w:noWrap w:val="0"/>
            <w:vAlign w:val="center"/>
          </w:tcPr>
          <w:p>
            <w:pPr>
              <w:pStyle w:val="27"/>
            </w:pPr>
            <w:r>
              <w:rPr>
                <w:rFonts w:hint="eastAsia"/>
              </w:rPr>
              <w:t>一级</w:t>
            </w:r>
            <w:r>
              <w:t>指标</w:t>
            </w:r>
            <w:r>
              <w:rPr>
                <w:rFonts w:hint="eastAsia"/>
              </w:rPr>
              <w:t>库</w:t>
            </w:r>
          </w:p>
        </w:tc>
        <w:tc>
          <w:tcPr>
            <w:tcW w:w="4149" w:type="pct"/>
            <w:shd w:val="clear" w:color="auto" w:fill="D8D8D8"/>
            <w:noWrap w:val="0"/>
            <w:vAlign w:val="center"/>
          </w:tcPr>
          <w:p>
            <w:pPr>
              <w:pStyle w:val="27"/>
            </w:pPr>
            <w:r>
              <w:rPr>
                <w:rFonts w:hint="eastAsia"/>
              </w:rPr>
              <w:t>二级</w:t>
            </w:r>
            <w:r>
              <w:t>指标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06" w:type="pct"/>
            <w:noWrap w:val="0"/>
            <w:vAlign w:val="center"/>
          </w:tcPr>
          <w:p>
            <w:pPr>
              <w:pStyle w:val="27"/>
              <w:rPr>
                <w:rFonts w:eastAsia="仿宋"/>
                <w:szCs w:val="24"/>
              </w:rPr>
            </w:pPr>
            <w:r>
              <w:rPr>
                <w:rFonts w:eastAsia="仿宋"/>
                <w:szCs w:val="24"/>
              </w:rPr>
              <w:t>1</w:t>
            </w:r>
          </w:p>
        </w:tc>
        <w:tc>
          <w:tcPr>
            <w:tcW w:w="543" w:type="pct"/>
            <w:noWrap w:val="0"/>
            <w:vAlign w:val="center"/>
          </w:tcPr>
          <w:p>
            <w:pPr>
              <w:pStyle w:val="27"/>
              <w:rPr>
                <w:rFonts w:eastAsia="仿宋"/>
                <w:szCs w:val="24"/>
              </w:rPr>
            </w:pPr>
            <w:r>
              <w:rPr>
                <w:rFonts w:eastAsia="仿宋"/>
                <w:szCs w:val="24"/>
              </w:rPr>
              <w:t>生态</w:t>
            </w:r>
          </w:p>
        </w:tc>
        <w:tc>
          <w:tcPr>
            <w:tcW w:w="4149" w:type="pct"/>
            <w:noWrap w:val="0"/>
            <w:vAlign w:val="center"/>
          </w:tcPr>
          <w:p>
            <w:pPr>
              <w:pStyle w:val="27"/>
              <w:rPr>
                <w:rFonts w:eastAsia="仿宋"/>
                <w:szCs w:val="24"/>
              </w:rPr>
            </w:pPr>
            <w:r>
              <w:rPr>
                <w:rFonts w:eastAsia="仿宋"/>
                <w:szCs w:val="24"/>
              </w:rPr>
              <w:t>生态质量指数（EQI）</w:t>
            </w:r>
            <w:r>
              <w:rPr>
                <w:rFonts w:hint="eastAsia" w:eastAsia="仿宋"/>
                <w:szCs w:val="24"/>
              </w:rPr>
              <w:t>、生物多样性、生态活力、自然灾害指数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306" w:type="pct"/>
            <w:noWrap w:val="0"/>
            <w:vAlign w:val="center"/>
          </w:tcPr>
          <w:p>
            <w:pPr>
              <w:pStyle w:val="27"/>
              <w:rPr>
                <w:rFonts w:eastAsia="仿宋"/>
                <w:szCs w:val="24"/>
              </w:rPr>
            </w:pPr>
            <w:r>
              <w:rPr>
                <w:rFonts w:hint="eastAsia" w:eastAsia="仿宋"/>
                <w:szCs w:val="24"/>
              </w:rPr>
              <w:t>2</w:t>
            </w:r>
          </w:p>
        </w:tc>
        <w:tc>
          <w:tcPr>
            <w:tcW w:w="543" w:type="pct"/>
            <w:noWrap w:val="0"/>
            <w:vAlign w:val="center"/>
          </w:tcPr>
          <w:p>
            <w:pPr>
              <w:pStyle w:val="27"/>
              <w:rPr>
                <w:rFonts w:eastAsia="仿宋"/>
                <w:szCs w:val="24"/>
              </w:rPr>
            </w:pPr>
            <w:r>
              <w:rPr>
                <w:rFonts w:eastAsia="仿宋"/>
                <w:szCs w:val="24"/>
              </w:rPr>
              <w:t>环境空气</w:t>
            </w:r>
          </w:p>
        </w:tc>
        <w:tc>
          <w:tcPr>
            <w:tcW w:w="4149" w:type="pct"/>
            <w:noWrap w:val="0"/>
            <w:vAlign w:val="center"/>
          </w:tcPr>
          <w:p>
            <w:pPr>
              <w:pStyle w:val="27"/>
              <w:rPr>
                <w:rFonts w:eastAsia="仿宋"/>
                <w:szCs w:val="24"/>
              </w:rPr>
            </w:pPr>
            <w:r>
              <w:rPr>
                <w:rFonts w:eastAsia="仿宋"/>
                <w:szCs w:val="24"/>
              </w:rPr>
              <w:t>优良天数比例</w:t>
            </w:r>
            <w:r>
              <w:rPr>
                <w:rFonts w:hint="eastAsia" w:eastAsia="仿宋"/>
                <w:szCs w:val="24"/>
              </w:rPr>
              <w:t>、</w:t>
            </w:r>
            <w:r>
              <w:rPr>
                <w:rFonts w:eastAsia="仿宋"/>
                <w:szCs w:val="24"/>
              </w:rPr>
              <w:t>重度及以上污染天数比例</w:t>
            </w:r>
            <w:r>
              <w:rPr>
                <w:rFonts w:hint="eastAsia" w:eastAsia="仿宋"/>
                <w:szCs w:val="24"/>
              </w:rPr>
              <w:t>、P</w:t>
            </w:r>
            <w:r>
              <w:rPr>
                <w:rFonts w:eastAsia="仿宋"/>
                <w:szCs w:val="24"/>
              </w:rPr>
              <w:t>M</w:t>
            </w:r>
            <w:r>
              <w:rPr>
                <w:rFonts w:hint="eastAsia" w:eastAsia="仿宋"/>
                <w:szCs w:val="24"/>
                <w:vertAlign w:val="subscript"/>
              </w:rPr>
              <w:t>2.5</w:t>
            </w:r>
            <w:r>
              <w:rPr>
                <w:rFonts w:hint="eastAsia" w:eastAsia="仿宋"/>
                <w:szCs w:val="24"/>
              </w:rPr>
              <w:t>浓度、P</w:t>
            </w:r>
            <w:r>
              <w:rPr>
                <w:rFonts w:eastAsia="仿宋"/>
                <w:szCs w:val="24"/>
              </w:rPr>
              <w:t>M</w:t>
            </w:r>
            <w:r>
              <w:rPr>
                <w:rFonts w:eastAsia="仿宋"/>
                <w:szCs w:val="24"/>
                <w:vertAlign w:val="subscript"/>
              </w:rPr>
              <w:t>10</w:t>
            </w:r>
            <w:r>
              <w:rPr>
                <w:rFonts w:hint="eastAsia" w:eastAsia="仿宋"/>
                <w:szCs w:val="24"/>
              </w:rPr>
              <w:t>浓度、S</w:t>
            </w:r>
            <w:r>
              <w:rPr>
                <w:rFonts w:eastAsia="仿宋"/>
                <w:szCs w:val="24"/>
              </w:rPr>
              <w:t>O</w:t>
            </w:r>
            <w:r>
              <w:rPr>
                <w:rFonts w:eastAsia="仿宋"/>
                <w:szCs w:val="24"/>
                <w:vertAlign w:val="subscript"/>
              </w:rPr>
              <w:t>2</w:t>
            </w:r>
            <w:r>
              <w:rPr>
                <w:rFonts w:hint="eastAsia" w:eastAsia="仿宋"/>
                <w:szCs w:val="24"/>
              </w:rPr>
              <w:t>浓度、N</w:t>
            </w:r>
            <w:r>
              <w:rPr>
                <w:rFonts w:eastAsia="仿宋"/>
                <w:szCs w:val="24"/>
              </w:rPr>
              <w:t>O</w:t>
            </w:r>
            <w:r>
              <w:rPr>
                <w:rFonts w:eastAsia="仿宋"/>
                <w:szCs w:val="24"/>
                <w:vertAlign w:val="subscript"/>
              </w:rPr>
              <w:t>2</w:t>
            </w:r>
            <w:r>
              <w:rPr>
                <w:rFonts w:hint="eastAsia" w:eastAsia="仿宋"/>
                <w:szCs w:val="24"/>
              </w:rPr>
              <w:t>浓度、C</w:t>
            </w:r>
            <w:r>
              <w:rPr>
                <w:rFonts w:eastAsia="仿宋"/>
                <w:szCs w:val="24"/>
              </w:rPr>
              <w:t>O</w:t>
            </w:r>
            <w:r>
              <w:rPr>
                <w:rFonts w:hint="eastAsia" w:eastAsia="仿宋"/>
                <w:szCs w:val="24"/>
              </w:rPr>
              <w:t>浓度、环境空气质量综合指数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306" w:type="pct"/>
            <w:noWrap w:val="0"/>
            <w:vAlign w:val="center"/>
          </w:tcPr>
          <w:p>
            <w:pPr>
              <w:pStyle w:val="27"/>
              <w:rPr>
                <w:rFonts w:eastAsia="仿宋"/>
                <w:szCs w:val="24"/>
              </w:rPr>
            </w:pPr>
            <w:r>
              <w:rPr>
                <w:rFonts w:hint="eastAsia" w:eastAsia="仿宋"/>
                <w:szCs w:val="24"/>
              </w:rPr>
              <w:t>3</w:t>
            </w:r>
          </w:p>
        </w:tc>
        <w:tc>
          <w:tcPr>
            <w:tcW w:w="543" w:type="pct"/>
            <w:noWrap w:val="0"/>
            <w:vAlign w:val="center"/>
          </w:tcPr>
          <w:p>
            <w:pPr>
              <w:pStyle w:val="27"/>
              <w:rPr>
                <w:rFonts w:eastAsia="仿宋"/>
                <w:szCs w:val="24"/>
              </w:rPr>
            </w:pPr>
            <w:r>
              <w:rPr>
                <w:rFonts w:eastAsia="仿宋"/>
                <w:szCs w:val="24"/>
              </w:rPr>
              <w:t>水</w:t>
            </w:r>
            <w:r>
              <w:rPr>
                <w:rFonts w:hint="eastAsia" w:eastAsia="仿宋"/>
                <w:szCs w:val="24"/>
              </w:rPr>
              <w:t>环境</w:t>
            </w:r>
          </w:p>
        </w:tc>
        <w:tc>
          <w:tcPr>
            <w:tcW w:w="4149" w:type="pct"/>
            <w:noWrap w:val="0"/>
            <w:vAlign w:val="center"/>
          </w:tcPr>
          <w:p>
            <w:pPr>
              <w:pStyle w:val="27"/>
              <w:rPr>
                <w:rFonts w:eastAsia="仿宋"/>
                <w:szCs w:val="24"/>
              </w:rPr>
            </w:pPr>
            <w:r>
              <w:rPr>
                <w:rFonts w:eastAsia="仿宋"/>
                <w:szCs w:val="24"/>
              </w:rPr>
              <w:t>地表水优良水质（I~III类）比例</w:t>
            </w:r>
            <w:r>
              <w:rPr>
                <w:rFonts w:hint="eastAsia" w:eastAsia="仿宋"/>
                <w:szCs w:val="24"/>
              </w:rPr>
              <w:t>、</w:t>
            </w:r>
            <w:r>
              <w:rPr>
                <w:rFonts w:eastAsia="仿宋"/>
                <w:szCs w:val="24"/>
              </w:rPr>
              <w:t>地表水劣V类水质比例</w:t>
            </w:r>
            <w:r>
              <w:rPr>
                <w:rFonts w:hint="eastAsia" w:eastAsia="仿宋"/>
                <w:szCs w:val="24"/>
              </w:rPr>
              <w:t>、C</w:t>
            </w:r>
            <w:r>
              <w:rPr>
                <w:rFonts w:eastAsia="仿宋"/>
                <w:szCs w:val="24"/>
              </w:rPr>
              <w:t>OD</w:t>
            </w:r>
            <w:r>
              <w:rPr>
                <w:rFonts w:hint="eastAsia" w:eastAsia="仿宋"/>
                <w:szCs w:val="24"/>
              </w:rPr>
              <w:t>浓度，C</w:t>
            </w:r>
            <w:r>
              <w:rPr>
                <w:rFonts w:eastAsia="仿宋"/>
                <w:szCs w:val="24"/>
              </w:rPr>
              <w:t>OD</w:t>
            </w:r>
            <w:r>
              <w:rPr>
                <w:rFonts w:eastAsia="仿宋"/>
                <w:szCs w:val="24"/>
                <w:vertAlign w:val="subscript"/>
              </w:rPr>
              <w:t>M</w:t>
            </w:r>
            <w:r>
              <w:rPr>
                <w:rFonts w:hint="eastAsia" w:eastAsia="仿宋"/>
                <w:szCs w:val="24"/>
                <w:vertAlign w:val="subscript"/>
              </w:rPr>
              <w:t>n</w:t>
            </w:r>
            <w:r>
              <w:rPr>
                <w:rFonts w:hint="eastAsia" w:eastAsia="仿宋"/>
                <w:szCs w:val="24"/>
              </w:rPr>
              <w:t>浓度、总氮浓度、总磷浓度、氨氮浓度、C</w:t>
            </w:r>
            <w:r>
              <w:rPr>
                <w:rFonts w:eastAsia="仿宋"/>
                <w:szCs w:val="24"/>
              </w:rPr>
              <w:t>WQI</w:t>
            </w:r>
            <w:r>
              <w:rPr>
                <w:rFonts w:hint="eastAsia" w:eastAsia="仿宋"/>
                <w:szCs w:val="24"/>
              </w:rPr>
              <w:t>指数、</w:t>
            </w:r>
            <w:r>
              <w:rPr>
                <w:rFonts w:eastAsia="仿宋"/>
                <w:szCs w:val="24"/>
              </w:rPr>
              <w:t>地下水I~IV类水质点位比例</w:t>
            </w:r>
            <w:r>
              <w:rPr>
                <w:rFonts w:hint="eastAsia" w:eastAsia="仿宋"/>
                <w:szCs w:val="24"/>
              </w:rPr>
              <w:t>、</w:t>
            </w:r>
            <w:r>
              <w:rPr>
                <w:rFonts w:eastAsia="仿宋"/>
                <w:szCs w:val="24"/>
              </w:rPr>
              <w:t>地下水I类水质点位比例</w:t>
            </w:r>
            <w:r>
              <w:rPr>
                <w:rFonts w:hint="eastAsia" w:eastAsia="仿宋"/>
                <w:szCs w:val="24"/>
              </w:rPr>
              <w:t>、</w:t>
            </w:r>
            <w:r>
              <w:rPr>
                <w:rFonts w:eastAsia="仿宋"/>
                <w:szCs w:val="24"/>
              </w:rPr>
              <w:t>地下水II类水质点位比例</w:t>
            </w:r>
            <w:r>
              <w:rPr>
                <w:rFonts w:hint="eastAsia" w:eastAsia="仿宋"/>
                <w:szCs w:val="24"/>
              </w:rPr>
              <w:t>、</w:t>
            </w:r>
            <w:r>
              <w:rPr>
                <w:rFonts w:eastAsia="仿宋"/>
                <w:szCs w:val="24"/>
              </w:rPr>
              <w:t>地下水III类水质点位比例</w:t>
            </w:r>
            <w:r>
              <w:rPr>
                <w:rFonts w:hint="eastAsia" w:eastAsia="仿宋"/>
                <w:szCs w:val="24"/>
              </w:rPr>
              <w:t>、地下水I</w:t>
            </w:r>
            <w:r>
              <w:rPr>
                <w:rFonts w:eastAsia="仿宋"/>
                <w:szCs w:val="24"/>
              </w:rPr>
              <w:t>V</w:t>
            </w:r>
            <w:r>
              <w:rPr>
                <w:rFonts w:hint="eastAsia" w:eastAsia="仿宋"/>
                <w:szCs w:val="24"/>
              </w:rPr>
              <w:t>类水质</w:t>
            </w:r>
            <w:r>
              <w:rPr>
                <w:rFonts w:eastAsia="仿宋"/>
                <w:szCs w:val="24"/>
              </w:rPr>
              <w:t>点位</w:t>
            </w:r>
            <w:r>
              <w:rPr>
                <w:rFonts w:hint="eastAsia" w:eastAsia="仿宋"/>
                <w:szCs w:val="24"/>
              </w:rPr>
              <w:t>比例、地下水V类水质点位比例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34" w:hRule="atLeast"/>
          <w:jc w:val="center"/>
        </w:trPr>
        <w:tc>
          <w:tcPr>
            <w:tcW w:w="306" w:type="pct"/>
            <w:noWrap w:val="0"/>
            <w:vAlign w:val="center"/>
          </w:tcPr>
          <w:p>
            <w:pPr>
              <w:pStyle w:val="27"/>
              <w:rPr>
                <w:rFonts w:eastAsia="仿宋"/>
                <w:szCs w:val="24"/>
              </w:rPr>
            </w:pPr>
            <w:r>
              <w:rPr>
                <w:rFonts w:eastAsia="仿宋"/>
                <w:szCs w:val="24"/>
              </w:rPr>
              <w:t>4</w:t>
            </w:r>
          </w:p>
        </w:tc>
        <w:tc>
          <w:tcPr>
            <w:tcW w:w="543" w:type="pct"/>
            <w:noWrap w:val="0"/>
            <w:vAlign w:val="center"/>
          </w:tcPr>
          <w:p>
            <w:pPr>
              <w:pStyle w:val="27"/>
              <w:rPr>
                <w:rFonts w:eastAsia="仿宋"/>
                <w:szCs w:val="24"/>
              </w:rPr>
            </w:pPr>
            <w:r>
              <w:rPr>
                <w:rFonts w:eastAsia="仿宋"/>
                <w:szCs w:val="24"/>
              </w:rPr>
              <w:t>土壤</w:t>
            </w:r>
          </w:p>
        </w:tc>
        <w:tc>
          <w:tcPr>
            <w:tcW w:w="4149" w:type="pct"/>
            <w:noWrap w:val="0"/>
            <w:vAlign w:val="center"/>
          </w:tcPr>
          <w:p>
            <w:pPr>
              <w:pStyle w:val="27"/>
              <w:rPr>
                <w:rFonts w:eastAsia="仿宋"/>
                <w:szCs w:val="24"/>
              </w:rPr>
            </w:pPr>
            <w:r>
              <w:rPr>
                <w:rFonts w:eastAsia="仿宋"/>
                <w:szCs w:val="24"/>
              </w:rPr>
              <w:t>未超过</w:t>
            </w:r>
            <w:r>
              <w:rPr>
                <w:rFonts w:hint="eastAsia" w:eastAsia="仿宋"/>
                <w:szCs w:val="24"/>
              </w:rPr>
              <w:t>土壤污染风险</w:t>
            </w:r>
            <w:r>
              <w:rPr>
                <w:rFonts w:eastAsia="仿宋"/>
                <w:szCs w:val="24"/>
              </w:rPr>
              <w:t>筛选值点位比例</w:t>
            </w:r>
            <w:r>
              <w:rPr>
                <w:rFonts w:hint="eastAsia" w:eastAsia="仿宋"/>
                <w:szCs w:val="24"/>
              </w:rPr>
              <w:t>、</w:t>
            </w:r>
            <w:r>
              <w:rPr>
                <w:rFonts w:eastAsia="仿宋"/>
                <w:szCs w:val="24"/>
              </w:rPr>
              <w:t>超过</w:t>
            </w:r>
            <w:r>
              <w:rPr>
                <w:rFonts w:hint="eastAsia" w:eastAsia="仿宋"/>
                <w:szCs w:val="24"/>
              </w:rPr>
              <w:t>土壤污染风险</w:t>
            </w:r>
            <w:r>
              <w:rPr>
                <w:rFonts w:eastAsia="仿宋"/>
                <w:szCs w:val="24"/>
              </w:rPr>
              <w:t>管制值点位比例</w:t>
            </w:r>
            <w:r>
              <w:rPr>
                <w:rFonts w:hint="eastAsia" w:eastAsia="仿宋"/>
                <w:szCs w:val="24"/>
              </w:rPr>
              <w:t>、土壤pH值、土壤镉浓度、土壤汞浓度、土壤砷浓度、土壤铅浓度、土壤铬浓度、土壤铜浓度、土壤镍浓度、土壤锌浓度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34" w:hRule="atLeast"/>
          <w:jc w:val="center"/>
        </w:trPr>
        <w:tc>
          <w:tcPr>
            <w:tcW w:w="306" w:type="pct"/>
            <w:noWrap w:val="0"/>
            <w:vAlign w:val="center"/>
          </w:tcPr>
          <w:p>
            <w:pPr>
              <w:pStyle w:val="27"/>
              <w:rPr>
                <w:rFonts w:eastAsia="仿宋"/>
                <w:szCs w:val="24"/>
              </w:rPr>
            </w:pPr>
            <w:r>
              <w:rPr>
                <w:rFonts w:eastAsia="仿宋"/>
                <w:szCs w:val="24"/>
              </w:rPr>
              <w:t>5</w:t>
            </w:r>
          </w:p>
        </w:tc>
        <w:tc>
          <w:tcPr>
            <w:tcW w:w="543" w:type="pct"/>
            <w:noWrap w:val="0"/>
            <w:vAlign w:val="center"/>
          </w:tcPr>
          <w:p>
            <w:pPr>
              <w:pStyle w:val="27"/>
              <w:rPr>
                <w:rFonts w:eastAsia="仿宋"/>
                <w:szCs w:val="24"/>
              </w:rPr>
            </w:pPr>
            <w:r>
              <w:rPr>
                <w:rFonts w:eastAsia="仿宋"/>
                <w:szCs w:val="24"/>
              </w:rPr>
              <w:t>声环境</w:t>
            </w:r>
          </w:p>
        </w:tc>
        <w:tc>
          <w:tcPr>
            <w:tcW w:w="4149" w:type="pct"/>
            <w:noWrap w:val="0"/>
            <w:vAlign w:val="center"/>
          </w:tcPr>
          <w:p>
            <w:pPr>
              <w:pStyle w:val="27"/>
              <w:rPr>
                <w:rFonts w:eastAsia="仿宋"/>
                <w:szCs w:val="24"/>
              </w:rPr>
            </w:pPr>
            <w:r>
              <w:rPr>
                <w:rFonts w:hint="eastAsia" w:eastAsia="仿宋"/>
                <w:szCs w:val="24"/>
              </w:rPr>
              <w:t>声环境功能区昼间达标率、声环境功能区夜间达标率、各类功能区昼间达标率、各类功能区夜间达标率、区域声环境等效声级平均值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339" w:hRule="atLeast"/>
          <w:jc w:val="center"/>
        </w:trPr>
        <w:tc>
          <w:tcPr>
            <w:tcW w:w="306" w:type="pct"/>
            <w:noWrap w:val="0"/>
            <w:vAlign w:val="center"/>
          </w:tcPr>
          <w:p>
            <w:pPr>
              <w:pStyle w:val="27"/>
              <w:rPr>
                <w:rFonts w:hint="default" w:eastAsia="仿宋"/>
                <w:szCs w:val="24"/>
                <w:lang w:val="en-US" w:eastAsia="zh-CN"/>
              </w:rPr>
            </w:pPr>
            <w:r>
              <w:rPr>
                <w:rFonts w:hint="eastAsia" w:eastAsia="仿宋"/>
                <w:szCs w:val="24"/>
                <w:lang w:val="en-US" w:eastAsia="zh-CN"/>
              </w:rPr>
              <w:t>6</w:t>
            </w:r>
          </w:p>
        </w:tc>
        <w:tc>
          <w:tcPr>
            <w:tcW w:w="543" w:type="pct"/>
            <w:noWrap w:val="0"/>
            <w:vAlign w:val="center"/>
          </w:tcPr>
          <w:p>
            <w:pPr>
              <w:pStyle w:val="27"/>
              <w:rPr>
                <w:rFonts w:eastAsia="仿宋"/>
                <w:szCs w:val="24"/>
              </w:rPr>
            </w:pPr>
            <w:r>
              <w:rPr>
                <w:rFonts w:eastAsia="仿宋"/>
                <w:szCs w:val="24"/>
              </w:rPr>
              <w:t>饮用水水源地</w:t>
            </w:r>
          </w:p>
        </w:tc>
        <w:tc>
          <w:tcPr>
            <w:tcW w:w="4149" w:type="pct"/>
            <w:noWrap w:val="0"/>
            <w:vAlign w:val="center"/>
          </w:tcPr>
          <w:p>
            <w:pPr>
              <w:pStyle w:val="27"/>
              <w:rPr>
                <w:rFonts w:eastAsia="仿宋"/>
                <w:szCs w:val="24"/>
              </w:rPr>
            </w:pPr>
            <w:r>
              <w:rPr>
                <w:rFonts w:hint="eastAsia" w:eastAsia="仿宋"/>
                <w:szCs w:val="24"/>
              </w:rPr>
              <w:t>地级及以上城市集中式地表饮用水水源水质达标率、县级城镇集中式饮用水水源地水质达标率、农村</w:t>
            </w:r>
            <w:r>
              <w:rPr>
                <w:rFonts w:hint="eastAsia" w:ascii="仿宋_GB2312"/>
              </w:rPr>
              <w:t>“</w:t>
            </w:r>
            <w:r>
              <w:rPr>
                <w:rFonts w:hint="eastAsia" w:eastAsia="仿宋"/>
                <w:szCs w:val="24"/>
              </w:rPr>
              <w:t>千吨万人</w:t>
            </w:r>
            <w:r>
              <w:rPr>
                <w:rFonts w:hint="eastAsia" w:ascii="仿宋_GB2312"/>
              </w:rPr>
              <w:t>”</w:t>
            </w:r>
            <w:r>
              <w:rPr>
                <w:rFonts w:hint="eastAsia" w:eastAsia="仿宋"/>
                <w:szCs w:val="24"/>
              </w:rPr>
              <w:t>饮用水水源地水质达标率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306" w:type="pct"/>
            <w:noWrap w:val="0"/>
            <w:vAlign w:val="center"/>
          </w:tcPr>
          <w:p>
            <w:pPr>
              <w:pStyle w:val="27"/>
              <w:rPr>
                <w:rFonts w:hint="eastAsia" w:eastAsia="仿宋"/>
                <w:szCs w:val="24"/>
                <w:lang w:eastAsia="zh-CN"/>
              </w:rPr>
            </w:pPr>
            <w:r>
              <w:rPr>
                <w:rFonts w:hint="eastAsia" w:eastAsia="仿宋"/>
                <w:szCs w:val="24"/>
                <w:lang w:val="en-US" w:eastAsia="zh-CN"/>
              </w:rPr>
              <w:t>7</w:t>
            </w:r>
          </w:p>
        </w:tc>
        <w:tc>
          <w:tcPr>
            <w:tcW w:w="543" w:type="pct"/>
            <w:noWrap w:val="0"/>
            <w:vAlign w:val="center"/>
          </w:tcPr>
          <w:p>
            <w:pPr>
              <w:pStyle w:val="27"/>
              <w:rPr>
                <w:rFonts w:eastAsia="仿宋"/>
                <w:szCs w:val="24"/>
              </w:rPr>
            </w:pPr>
            <w:r>
              <w:rPr>
                <w:rFonts w:hint="eastAsia" w:eastAsia="仿宋"/>
                <w:szCs w:val="24"/>
              </w:rPr>
              <w:t>农村环境</w:t>
            </w:r>
          </w:p>
        </w:tc>
        <w:tc>
          <w:tcPr>
            <w:tcW w:w="4149" w:type="pct"/>
            <w:noWrap w:val="0"/>
            <w:vAlign w:val="center"/>
          </w:tcPr>
          <w:p>
            <w:pPr>
              <w:pStyle w:val="27"/>
              <w:jc w:val="both"/>
              <w:rPr>
                <w:rFonts w:eastAsia="仿宋"/>
                <w:szCs w:val="24"/>
              </w:rPr>
            </w:pPr>
            <w:r>
              <w:rPr>
                <w:rFonts w:hint="eastAsia" w:eastAsia="仿宋"/>
                <w:szCs w:val="24"/>
              </w:rPr>
              <w:t>农村环境空气</w:t>
            </w:r>
            <w:r>
              <w:rPr>
                <w:rFonts w:eastAsia="仿宋"/>
                <w:szCs w:val="24"/>
              </w:rPr>
              <w:t>优良天数比例</w:t>
            </w:r>
            <w:r>
              <w:rPr>
                <w:rFonts w:hint="eastAsia" w:eastAsia="仿宋"/>
                <w:szCs w:val="24"/>
              </w:rPr>
              <w:t>、</w:t>
            </w:r>
            <w:r>
              <w:rPr>
                <w:rFonts w:eastAsia="仿宋"/>
                <w:szCs w:val="24"/>
              </w:rPr>
              <w:t>重度及以上污染天数比例</w:t>
            </w:r>
            <w:r>
              <w:rPr>
                <w:rFonts w:hint="eastAsia" w:eastAsia="仿宋"/>
                <w:szCs w:val="24"/>
              </w:rPr>
              <w:t>、P</w:t>
            </w:r>
            <w:r>
              <w:rPr>
                <w:rFonts w:eastAsia="仿宋"/>
                <w:szCs w:val="24"/>
              </w:rPr>
              <w:t>M</w:t>
            </w:r>
            <w:r>
              <w:rPr>
                <w:rFonts w:hint="eastAsia" w:eastAsia="仿宋"/>
                <w:szCs w:val="24"/>
                <w:vertAlign w:val="subscript"/>
              </w:rPr>
              <w:t>2.5</w:t>
            </w:r>
            <w:r>
              <w:rPr>
                <w:rFonts w:hint="eastAsia" w:eastAsia="仿宋"/>
                <w:szCs w:val="24"/>
              </w:rPr>
              <w:t>浓度、P</w:t>
            </w:r>
            <w:r>
              <w:rPr>
                <w:rFonts w:eastAsia="仿宋"/>
                <w:szCs w:val="24"/>
              </w:rPr>
              <w:t>M</w:t>
            </w:r>
            <w:r>
              <w:rPr>
                <w:rFonts w:eastAsia="仿宋"/>
                <w:szCs w:val="24"/>
                <w:vertAlign w:val="subscript"/>
              </w:rPr>
              <w:t>10</w:t>
            </w:r>
            <w:r>
              <w:rPr>
                <w:rFonts w:hint="eastAsia" w:eastAsia="仿宋"/>
                <w:szCs w:val="24"/>
              </w:rPr>
              <w:t>浓度、S</w:t>
            </w:r>
            <w:r>
              <w:rPr>
                <w:rFonts w:eastAsia="仿宋"/>
                <w:szCs w:val="24"/>
              </w:rPr>
              <w:t>O</w:t>
            </w:r>
            <w:r>
              <w:rPr>
                <w:rFonts w:eastAsia="仿宋"/>
                <w:szCs w:val="24"/>
                <w:vertAlign w:val="subscript"/>
              </w:rPr>
              <w:t>2</w:t>
            </w:r>
            <w:r>
              <w:rPr>
                <w:rFonts w:hint="eastAsia" w:eastAsia="仿宋"/>
                <w:szCs w:val="24"/>
              </w:rPr>
              <w:t>浓度、N</w:t>
            </w:r>
            <w:r>
              <w:rPr>
                <w:rFonts w:eastAsia="仿宋"/>
                <w:szCs w:val="24"/>
              </w:rPr>
              <w:t>O</w:t>
            </w:r>
            <w:r>
              <w:rPr>
                <w:rFonts w:eastAsia="仿宋"/>
                <w:szCs w:val="24"/>
                <w:vertAlign w:val="subscript"/>
              </w:rPr>
              <w:t>2</w:t>
            </w:r>
            <w:r>
              <w:rPr>
                <w:rFonts w:hint="eastAsia" w:eastAsia="仿宋"/>
                <w:szCs w:val="24"/>
              </w:rPr>
              <w:t>浓度、C</w:t>
            </w:r>
            <w:r>
              <w:rPr>
                <w:rFonts w:eastAsia="仿宋"/>
                <w:szCs w:val="24"/>
              </w:rPr>
              <w:t>O</w:t>
            </w:r>
            <w:r>
              <w:rPr>
                <w:rFonts w:hint="eastAsia" w:eastAsia="仿宋"/>
                <w:szCs w:val="24"/>
              </w:rPr>
              <w:t>浓度、环境空气质量综合指数、农村地表水优良水质（I~III类）比例、</w:t>
            </w:r>
            <w:r>
              <w:rPr>
                <w:rFonts w:eastAsia="仿宋"/>
                <w:szCs w:val="24"/>
              </w:rPr>
              <w:t>地表水优良水质（I~III类）比例</w:t>
            </w:r>
            <w:r>
              <w:rPr>
                <w:rFonts w:hint="eastAsia" w:eastAsia="仿宋"/>
                <w:szCs w:val="24"/>
              </w:rPr>
              <w:t>、</w:t>
            </w:r>
            <w:r>
              <w:rPr>
                <w:rFonts w:eastAsia="仿宋"/>
                <w:szCs w:val="24"/>
              </w:rPr>
              <w:t>地表水劣V类水质比例</w:t>
            </w:r>
            <w:r>
              <w:rPr>
                <w:rFonts w:hint="eastAsia" w:eastAsia="仿宋"/>
                <w:szCs w:val="24"/>
              </w:rPr>
              <w:t>、C</w:t>
            </w:r>
            <w:r>
              <w:rPr>
                <w:rFonts w:eastAsia="仿宋"/>
                <w:szCs w:val="24"/>
              </w:rPr>
              <w:t>OD</w:t>
            </w:r>
            <w:r>
              <w:rPr>
                <w:rFonts w:hint="eastAsia" w:eastAsia="仿宋"/>
                <w:szCs w:val="24"/>
              </w:rPr>
              <w:t>浓度，C</w:t>
            </w:r>
            <w:r>
              <w:rPr>
                <w:rFonts w:eastAsia="仿宋"/>
                <w:szCs w:val="24"/>
              </w:rPr>
              <w:t>OD</w:t>
            </w:r>
            <w:r>
              <w:rPr>
                <w:rFonts w:eastAsia="仿宋"/>
                <w:szCs w:val="24"/>
                <w:vertAlign w:val="subscript"/>
              </w:rPr>
              <w:t>M</w:t>
            </w:r>
            <w:r>
              <w:rPr>
                <w:rFonts w:hint="eastAsia" w:eastAsia="仿宋"/>
                <w:szCs w:val="24"/>
                <w:vertAlign w:val="subscript"/>
              </w:rPr>
              <w:t>n</w:t>
            </w:r>
            <w:r>
              <w:rPr>
                <w:rFonts w:hint="eastAsia" w:eastAsia="仿宋"/>
                <w:szCs w:val="24"/>
              </w:rPr>
              <w:t>浓度、总氮浓度、总磷浓度、氨氮浓度、C</w:t>
            </w:r>
            <w:r>
              <w:rPr>
                <w:rFonts w:eastAsia="仿宋"/>
                <w:szCs w:val="24"/>
              </w:rPr>
              <w:t>WQI</w:t>
            </w:r>
            <w:r>
              <w:rPr>
                <w:rFonts w:hint="eastAsia" w:eastAsia="仿宋"/>
                <w:szCs w:val="24"/>
              </w:rPr>
              <w:t>指数</w:t>
            </w:r>
            <w:r>
              <w:rPr>
                <w:rFonts w:hint="eastAsia" w:eastAsia="仿宋"/>
                <w:szCs w:val="24"/>
                <w:lang w:eastAsia="zh-CN"/>
              </w:rPr>
              <w:t>、</w:t>
            </w:r>
            <w:r>
              <w:rPr>
                <w:rFonts w:hint="eastAsia" w:eastAsia="仿宋"/>
                <w:szCs w:val="24"/>
              </w:rPr>
              <w:t>农村土壤</w:t>
            </w:r>
            <w:r>
              <w:rPr>
                <w:rFonts w:eastAsia="仿宋"/>
                <w:szCs w:val="24"/>
              </w:rPr>
              <w:t>未超过</w:t>
            </w:r>
            <w:r>
              <w:rPr>
                <w:rFonts w:hint="eastAsia" w:eastAsia="仿宋"/>
                <w:szCs w:val="24"/>
              </w:rPr>
              <w:t>土壤污染风险</w:t>
            </w:r>
            <w:r>
              <w:rPr>
                <w:rFonts w:eastAsia="仿宋"/>
                <w:szCs w:val="24"/>
              </w:rPr>
              <w:t>筛选值点位比例</w:t>
            </w:r>
            <w:r>
              <w:rPr>
                <w:rFonts w:hint="eastAsia" w:eastAsia="仿宋"/>
                <w:szCs w:val="24"/>
              </w:rPr>
              <w:t>、农村土壤</w:t>
            </w:r>
            <w:r>
              <w:rPr>
                <w:rFonts w:eastAsia="仿宋"/>
                <w:szCs w:val="24"/>
              </w:rPr>
              <w:t>超过</w:t>
            </w:r>
            <w:r>
              <w:rPr>
                <w:rFonts w:hint="eastAsia" w:eastAsia="仿宋"/>
                <w:szCs w:val="24"/>
              </w:rPr>
              <w:t>土壤污染风险</w:t>
            </w:r>
            <w:r>
              <w:rPr>
                <w:rFonts w:eastAsia="仿宋"/>
                <w:szCs w:val="24"/>
              </w:rPr>
              <w:t>管制值点位比例</w:t>
            </w:r>
            <w:r>
              <w:rPr>
                <w:rFonts w:hint="eastAsia" w:eastAsia="仿宋"/>
                <w:szCs w:val="24"/>
              </w:rPr>
              <w:t>、土壤pH值、土壤镉浓度、土壤汞浓度、土壤砷浓度、土壤铅浓度、土壤铬浓度、土壤铜浓度、土壤镍浓度、土壤锌浓度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278" w:hRule="atLeast"/>
          <w:jc w:val="center"/>
        </w:trPr>
        <w:tc>
          <w:tcPr>
            <w:tcW w:w="306" w:type="pct"/>
            <w:noWrap w:val="0"/>
            <w:vAlign w:val="center"/>
          </w:tcPr>
          <w:p>
            <w:pPr>
              <w:pStyle w:val="27"/>
              <w:rPr>
                <w:rFonts w:hint="eastAsia" w:eastAsia="仿宋"/>
                <w:szCs w:val="24"/>
                <w:lang w:eastAsia="zh-CN"/>
              </w:rPr>
            </w:pPr>
            <w:r>
              <w:rPr>
                <w:rFonts w:hint="eastAsia" w:eastAsia="仿宋"/>
                <w:szCs w:val="24"/>
                <w:lang w:val="en-US" w:eastAsia="zh-CN"/>
              </w:rPr>
              <w:t>8</w:t>
            </w:r>
          </w:p>
        </w:tc>
        <w:tc>
          <w:tcPr>
            <w:tcW w:w="543" w:type="pct"/>
            <w:noWrap w:val="0"/>
            <w:vAlign w:val="center"/>
          </w:tcPr>
          <w:p>
            <w:pPr>
              <w:pStyle w:val="27"/>
              <w:rPr>
                <w:rFonts w:eastAsia="仿宋"/>
                <w:szCs w:val="24"/>
              </w:rPr>
            </w:pPr>
            <w:r>
              <w:rPr>
                <w:rFonts w:hint="eastAsia" w:eastAsia="仿宋"/>
                <w:szCs w:val="24"/>
              </w:rPr>
              <w:t>绿色发展</w:t>
            </w:r>
          </w:p>
        </w:tc>
        <w:tc>
          <w:tcPr>
            <w:tcW w:w="4149" w:type="pct"/>
            <w:noWrap w:val="0"/>
            <w:vAlign w:val="center"/>
          </w:tcPr>
          <w:p>
            <w:pPr>
              <w:pStyle w:val="27"/>
              <w:jc w:val="both"/>
              <w:rPr>
                <w:rFonts w:eastAsia="仿宋"/>
                <w:szCs w:val="24"/>
              </w:rPr>
            </w:pPr>
            <w:r>
              <w:rPr>
                <w:rFonts w:hint="eastAsia" w:eastAsia="仿宋"/>
                <w:szCs w:val="24"/>
              </w:rPr>
              <w:t>人均</w:t>
            </w:r>
            <w:r>
              <w:rPr>
                <w:rFonts w:eastAsia="仿宋"/>
                <w:szCs w:val="24"/>
              </w:rPr>
              <w:t>GDP</w:t>
            </w:r>
            <w:r>
              <w:rPr>
                <w:rFonts w:hint="eastAsia" w:eastAsia="仿宋"/>
                <w:szCs w:val="24"/>
              </w:rPr>
              <w:t>、单位</w:t>
            </w:r>
            <w:r>
              <w:rPr>
                <w:rFonts w:eastAsia="仿宋"/>
                <w:szCs w:val="24"/>
              </w:rPr>
              <w:t>GDP二氧化碳排放量</w:t>
            </w:r>
            <w:r>
              <w:rPr>
                <w:rFonts w:hint="eastAsia" w:eastAsia="仿宋"/>
                <w:szCs w:val="24"/>
              </w:rPr>
              <w:t>、主要环境空气污染物去除率、主要水环境污染物去除率、主要环境空气污染物去除率、主要水环境污染物去除率、单位GDP全社会用电量、单位工业增加值用水量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306" w:type="pct"/>
            <w:noWrap w:val="0"/>
            <w:vAlign w:val="center"/>
          </w:tcPr>
          <w:p>
            <w:pPr>
              <w:pStyle w:val="27"/>
              <w:rPr>
                <w:rFonts w:hint="eastAsia" w:eastAsia="仿宋"/>
                <w:szCs w:val="24"/>
                <w:lang w:eastAsia="zh-CN"/>
              </w:rPr>
            </w:pPr>
            <w:r>
              <w:rPr>
                <w:rFonts w:hint="eastAsia" w:eastAsia="仿宋"/>
                <w:szCs w:val="24"/>
                <w:lang w:val="en-US" w:eastAsia="zh-CN"/>
              </w:rPr>
              <w:t>9</w:t>
            </w:r>
          </w:p>
        </w:tc>
        <w:tc>
          <w:tcPr>
            <w:tcW w:w="543" w:type="pct"/>
            <w:noWrap w:val="0"/>
            <w:vAlign w:val="center"/>
          </w:tcPr>
          <w:p>
            <w:pPr>
              <w:pStyle w:val="27"/>
              <w:rPr>
                <w:rFonts w:eastAsia="仿宋"/>
                <w:szCs w:val="24"/>
              </w:rPr>
            </w:pPr>
            <w:r>
              <w:rPr>
                <w:rFonts w:hint="eastAsia" w:eastAsia="仿宋"/>
                <w:szCs w:val="24"/>
              </w:rPr>
              <w:t>辐射</w:t>
            </w:r>
          </w:p>
        </w:tc>
        <w:tc>
          <w:tcPr>
            <w:tcW w:w="4149" w:type="pct"/>
            <w:noWrap w:val="0"/>
            <w:vAlign w:val="center"/>
          </w:tcPr>
          <w:p>
            <w:pPr>
              <w:pStyle w:val="27"/>
              <w:rPr>
                <w:rFonts w:eastAsia="仿宋"/>
                <w:szCs w:val="24"/>
              </w:rPr>
            </w:pPr>
            <w:r>
              <w:rPr>
                <w:rFonts w:hint="eastAsia" w:eastAsia="仿宋"/>
                <w:szCs w:val="24"/>
              </w:rPr>
              <w:t>电磁辐射、电离辐射</w:t>
            </w:r>
          </w:p>
        </w:tc>
      </w:tr>
    </w:tbl>
    <w:p>
      <w:pPr>
        <w:bidi w:val="0"/>
        <w:ind w:firstLine="642" w:firstLineChars="200"/>
        <w:rPr>
          <w:rFonts w:hint="eastAsia" w:ascii="仿宋" w:hAnsi="仿宋" w:eastAsia="仿宋" w:cs="仿宋"/>
          <w:b/>
          <w:bCs w:val="0"/>
          <w:color w:val="auto"/>
          <w:kern w:val="0"/>
          <w:sz w:val="32"/>
          <w:szCs w:val="32"/>
          <w:lang w:val="en-US" w:eastAsia="zh-CN" w:bidi="ar-SA"/>
        </w:rPr>
      </w:pPr>
    </w:p>
    <w:p>
      <w:pPr>
        <w:bidi w:val="0"/>
        <w:ind w:firstLine="642" w:firstLineChars="200"/>
        <w:rPr>
          <w:rFonts w:hint="default" w:ascii="仿宋" w:hAnsi="仿宋" w:eastAsia="仿宋" w:cs="仿宋"/>
          <w:b/>
          <w:bCs w:val="0"/>
          <w:color w:val="auto"/>
          <w:kern w:val="0"/>
          <w:sz w:val="32"/>
          <w:szCs w:val="32"/>
          <w:lang w:val="en-US" w:eastAsia="zh-CN" w:bidi="ar-SA"/>
        </w:rPr>
      </w:pPr>
      <w:r>
        <w:rPr>
          <w:rFonts w:hint="eastAsia" w:ascii="仿宋" w:hAnsi="仿宋" w:eastAsia="仿宋" w:cs="仿宋"/>
          <w:b/>
          <w:bCs w:val="0"/>
          <w:color w:val="auto"/>
          <w:kern w:val="0"/>
          <w:sz w:val="32"/>
          <w:szCs w:val="32"/>
          <w:lang w:val="en-US" w:eastAsia="zh-CN" w:bidi="ar-SA"/>
        </w:rPr>
        <w:t>2.生态环境质量综合指数指标体系</w:t>
      </w:r>
    </w:p>
    <w:p>
      <w:pPr>
        <w:bidi w:val="0"/>
        <w:ind w:firstLine="640" w:firstLineChars="200"/>
        <w:rPr>
          <w:rFonts w:hint="default"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生态环境质量综合指数是表征评价区域生态环境质量综合状况的指数，项目组在生态环境质量综合指数指标库中进行指标筛选，为达到指标可监测、可量化、可对比、可追溯的目的，主要选取了以国家生态环境监测网络为主体，兼顾地方生态环境监测网络，覆盖生态、环境空气、水、土壤、声等生态环境质量要素的评价指标，同时考虑了绿色发展，使评价结果更加全面。</w:t>
      </w:r>
    </w:p>
    <w:p>
      <w:pPr>
        <w:bidi w:val="0"/>
        <w:ind w:firstLine="640" w:firstLineChars="200"/>
        <w:rPr>
          <w:rFonts w:hint="default"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生态环境质量综合指数指标体系包括3个一级指标：生态质量水平、环境质量水平和绿色发展水平，9个二级指标，21个三级指标（表5-2）。</w:t>
      </w:r>
    </w:p>
    <w:p>
      <w:pPr>
        <w:pStyle w:val="27"/>
        <w:rPr>
          <w:rFonts w:hint="eastAsia"/>
          <w:sz w:val="32"/>
          <w:szCs w:val="32"/>
        </w:rPr>
      </w:pPr>
      <w:r>
        <w:rPr>
          <w:rFonts w:hint="eastAsia"/>
          <w:b/>
          <w:bCs/>
          <w:sz w:val="32"/>
          <w:szCs w:val="32"/>
        </w:rPr>
        <w:t>表</w:t>
      </w:r>
      <w:r>
        <w:rPr>
          <w:rFonts w:hint="eastAsia"/>
          <w:b/>
          <w:bCs/>
          <w:sz w:val="32"/>
          <w:szCs w:val="32"/>
          <w:lang w:val="en-US" w:eastAsia="zh-CN"/>
        </w:rPr>
        <w:t>5-2</w:t>
      </w:r>
      <w:r>
        <w:rPr>
          <w:rFonts w:hint="eastAsia"/>
          <w:b/>
          <w:bCs/>
          <w:sz w:val="32"/>
          <w:szCs w:val="32"/>
        </w:rPr>
        <w:t>生态环境质量综合指数指标体系</w:t>
      </w:r>
    </w:p>
    <w:tbl>
      <w:tblPr>
        <w:tblStyle w:val="15"/>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202"/>
        <w:gridCol w:w="1473"/>
        <w:gridCol w:w="4174"/>
        <w:gridCol w:w="2635"/>
        <w:gridCol w:w="10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2" w:hRule="exact"/>
          <w:tblHeader/>
          <w:jc w:val="center"/>
        </w:trPr>
        <w:tc>
          <w:tcPr>
            <w:tcW w:w="568" w:type="pct"/>
            <w:shd w:val="clear" w:color="auto" w:fill="FFFFFF" w:themeFill="background1"/>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一级指标</w:t>
            </w:r>
          </w:p>
        </w:tc>
        <w:tc>
          <w:tcPr>
            <w:tcW w:w="696" w:type="pct"/>
            <w:shd w:val="clear" w:color="auto" w:fill="FFFFFF" w:themeFill="background1"/>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二级指标</w:t>
            </w:r>
          </w:p>
        </w:tc>
        <w:tc>
          <w:tcPr>
            <w:tcW w:w="1972" w:type="pct"/>
            <w:shd w:val="clear" w:color="auto" w:fill="FFFFFF" w:themeFill="background1"/>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三级指标</w:t>
            </w:r>
          </w:p>
        </w:tc>
        <w:tc>
          <w:tcPr>
            <w:tcW w:w="1245" w:type="pct"/>
            <w:shd w:val="clear" w:color="auto" w:fill="FFFFFF" w:themeFill="background1"/>
            <w:vAlign w:val="center"/>
          </w:tcPr>
          <w:p>
            <w:pPr>
              <w:pStyle w:val="27"/>
              <w:jc w:val="center"/>
              <w:rPr>
                <w:rFonts w:hint="eastAsia" w:ascii="仿宋" w:hAnsi="仿宋" w:eastAsia="仿宋" w:cs="仿宋"/>
                <w:color w:val="auto"/>
                <w:sz w:val="21"/>
                <w:szCs w:val="21"/>
                <w:lang w:val="en" w:eastAsia="zh-CN"/>
              </w:rPr>
            </w:pPr>
            <w:r>
              <w:rPr>
                <w:rFonts w:hint="eastAsia" w:ascii="仿宋" w:hAnsi="仿宋" w:eastAsia="仿宋" w:cs="仿宋"/>
                <w:color w:val="auto"/>
                <w:sz w:val="21"/>
                <w:szCs w:val="21"/>
                <w:lang w:val="en" w:eastAsia="zh-CN"/>
              </w:rPr>
              <w:t>单位</w:t>
            </w:r>
          </w:p>
        </w:tc>
        <w:tc>
          <w:tcPr>
            <w:tcW w:w="516" w:type="pct"/>
            <w:shd w:val="clear" w:color="auto" w:fill="FFFFFF" w:themeFill="background1"/>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888" w:hRule="exact"/>
          <w:jc w:val="center"/>
        </w:trPr>
        <w:tc>
          <w:tcPr>
            <w:tcW w:w="568" w:type="pct"/>
            <w:shd w:val="clear" w:color="auto" w:fill="auto"/>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生态</w:t>
            </w:r>
            <w:r>
              <w:rPr>
                <w:rFonts w:hint="eastAsia" w:ascii="仿宋" w:hAnsi="仿宋" w:eastAsia="仿宋" w:cs="仿宋"/>
                <w:color w:val="auto"/>
                <w:sz w:val="21"/>
                <w:szCs w:val="21"/>
                <w:lang w:val="en-US" w:eastAsia="zh-CN"/>
              </w:rPr>
              <w:t>质量水平</w:t>
            </w:r>
          </w:p>
        </w:tc>
        <w:tc>
          <w:tcPr>
            <w:tcW w:w="696" w:type="pct"/>
            <w:shd w:val="clear" w:color="auto" w:fill="auto"/>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生态质量指数（EQI）</w:t>
            </w:r>
          </w:p>
        </w:tc>
        <w:tc>
          <w:tcPr>
            <w:tcW w:w="1972" w:type="pct"/>
            <w:shd w:val="clear" w:color="auto" w:fill="auto"/>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w:t>
            </w:r>
          </w:p>
        </w:tc>
        <w:tc>
          <w:tcPr>
            <w:tcW w:w="516"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正向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68" w:type="pct"/>
            <w:vMerge w:val="restart"/>
            <w:shd w:val="clear" w:color="auto" w:fill="auto"/>
            <w:vAlign w:val="center"/>
          </w:tcPr>
          <w:p>
            <w:pPr>
              <w:pStyle w:val="27"/>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环境质量水平</w:t>
            </w:r>
          </w:p>
        </w:tc>
        <w:tc>
          <w:tcPr>
            <w:tcW w:w="696" w:type="pct"/>
            <w:vMerge w:val="restart"/>
            <w:shd w:val="clear" w:color="auto" w:fill="auto"/>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环境空气</w:t>
            </w:r>
            <w:r>
              <w:rPr>
                <w:rFonts w:hint="eastAsia" w:ascii="仿宋" w:hAnsi="仿宋" w:eastAsia="仿宋" w:cs="仿宋"/>
                <w:color w:val="auto"/>
                <w:sz w:val="21"/>
                <w:szCs w:val="21"/>
                <w:lang w:eastAsia="zh-CN"/>
              </w:rPr>
              <w:t>质量</w:t>
            </w:r>
          </w:p>
        </w:tc>
        <w:tc>
          <w:tcPr>
            <w:tcW w:w="1972" w:type="pct"/>
            <w:shd w:val="clear" w:color="auto" w:fill="auto"/>
            <w:vAlign w:val="center"/>
          </w:tcPr>
          <w:p>
            <w:pPr>
              <w:pStyle w:val="27"/>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空气质量综合指数</w:t>
            </w:r>
          </w:p>
        </w:tc>
        <w:tc>
          <w:tcPr>
            <w:tcW w:w="1245" w:type="pct"/>
            <w:vAlign w:val="center"/>
          </w:tcPr>
          <w:p>
            <w:pPr>
              <w:pStyle w:val="27"/>
              <w:rPr>
                <w:rFonts w:hint="eastAsia" w:ascii="仿宋" w:hAnsi="仿宋" w:eastAsia="仿宋" w:cs="仿宋"/>
                <w:i/>
                <w:iCs/>
                <w:color w:val="auto"/>
                <w:kern w:val="2"/>
                <w:sz w:val="21"/>
                <w:szCs w:val="21"/>
                <w:shd w:val="clear" w:color="auto" w:fill="FFFFFF"/>
                <w:lang w:val="en-US" w:eastAsia="zh-CN" w:bidi="ar-SA"/>
              </w:rPr>
            </w:pPr>
            <w:r>
              <w:rPr>
                <w:rFonts w:hint="eastAsia" w:ascii="仿宋" w:hAnsi="仿宋" w:eastAsia="仿宋" w:cs="仿宋"/>
                <w:color w:val="auto"/>
                <w:sz w:val="21"/>
                <w:szCs w:val="21"/>
              </w:rPr>
              <w:t>无量纲</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负向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696"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1972" w:type="pct"/>
            <w:shd w:val="clear" w:color="auto" w:fill="auto"/>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PM</w:t>
            </w:r>
            <w:r>
              <w:rPr>
                <w:rFonts w:hint="eastAsia" w:ascii="仿宋" w:hAnsi="仿宋" w:eastAsia="仿宋" w:cs="仿宋"/>
                <w:color w:val="auto"/>
                <w:sz w:val="21"/>
                <w:szCs w:val="21"/>
                <w:vertAlign w:val="subscript"/>
              </w:rPr>
              <w:t>2.5</w:t>
            </w:r>
            <w:r>
              <w:rPr>
                <w:rFonts w:hint="eastAsia" w:ascii="仿宋" w:hAnsi="仿宋" w:eastAsia="仿宋" w:cs="仿宋"/>
                <w:color w:val="auto"/>
                <w:sz w:val="21"/>
                <w:szCs w:val="21"/>
              </w:rPr>
              <w:t>浓度</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i/>
                <w:iCs/>
                <w:color w:val="auto"/>
                <w:sz w:val="21"/>
                <w:szCs w:val="21"/>
                <w:shd w:val="clear" w:color="auto" w:fill="FFFFFF"/>
              </w:rPr>
              <w:t>μg/m</w:t>
            </w:r>
            <w:r>
              <w:rPr>
                <w:rFonts w:hint="eastAsia" w:ascii="仿宋" w:hAnsi="仿宋" w:eastAsia="仿宋" w:cs="仿宋"/>
                <w:i/>
                <w:iCs/>
                <w:color w:val="auto"/>
                <w:sz w:val="21"/>
                <w:szCs w:val="21"/>
                <w:shd w:val="clear" w:color="auto" w:fill="FFFFFF"/>
                <w:vertAlign w:val="superscript"/>
              </w:rPr>
              <w:t>3</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负向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696"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1972" w:type="pct"/>
            <w:shd w:val="clear" w:color="auto" w:fill="auto"/>
            <w:vAlign w:val="center"/>
          </w:tcPr>
          <w:p>
            <w:pPr>
              <w:pStyle w:val="27"/>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O</w:t>
            </w:r>
            <w:r>
              <w:rPr>
                <w:rFonts w:hint="eastAsia" w:ascii="仿宋" w:hAnsi="仿宋" w:eastAsia="仿宋" w:cs="仿宋"/>
                <w:color w:val="auto"/>
                <w:kern w:val="2"/>
                <w:sz w:val="21"/>
                <w:szCs w:val="21"/>
                <w:vertAlign w:val="subscript"/>
                <w:lang w:val="en-US" w:eastAsia="zh-CN" w:bidi="ar-SA"/>
              </w:rPr>
              <w:t>3</w:t>
            </w:r>
            <w:r>
              <w:rPr>
                <w:rFonts w:hint="eastAsia" w:ascii="仿宋" w:hAnsi="仿宋" w:eastAsia="仿宋" w:cs="仿宋"/>
                <w:color w:val="auto"/>
                <w:kern w:val="2"/>
                <w:sz w:val="21"/>
                <w:szCs w:val="21"/>
                <w:lang w:val="en-US" w:eastAsia="zh-CN" w:bidi="ar-SA"/>
              </w:rPr>
              <w:t>浓度</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i/>
                <w:iCs/>
                <w:color w:val="auto"/>
                <w:sz w:val="21"/>
                <w:szCs w:val="21"/>
                <w:shd w:val="clear" w:color="auto" w:fill="FFFFFF"/>
              </w:rPr>
              <w:t>μg/m</w:t>
            </w:r>
            <w:r>
              <w:rPr>
                <w:rFonts w:hint="eastAsia" w:ascii="仿宋" w:hAnsi="仿宋" w:eastAsia="仿宋" w:cs="仿宋"/>
                <w:i/>
                <w:iCs/>
                <w:color w:val="auto"/>
                <w:sz w:val="21"/>
                <w:szCs w:val="21"/>
                <w:shd w:val="clear" w:color="auto" w:fill="FFFFFF"/>
                <w:vertAlign w:val="superscript"/>
              </w:rPr>
              <w:t>3</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负向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696"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1972" w:type="pct"/>
            <w:shd w:val="clear" w:color="auto" w:fill="auto"/>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环境空气优良天数比例</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正向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696"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1972" w:type="pct"/>
            <w:shd w:val="clear" w:color="auto" w:fill="auto"/>
            <w:vAlign w:val="center"/>
          </w:tcPr>
          <w:p>
            <w:pPr>
              <w:pStyle w:val="27"/>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重度</w:t>
            </w:r>
            <w:r>
              <w:rPr>
                <w:rFonts w:hint="eastAsia" w:ascii="仿宋" w:hAnsi="仿宋" w:eastAsia="仿宋" w:cs="仿宋"/>
                <w:color w:val="auto"/>
                <w:sz w:val="21"/>
                <w:szCs w:val="21"/>
              </w:rPr>
              <w:t>污染天数比例</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负向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696" w:type="pct"/>
            <w:vMerge w:val="restart"/>
            <w:shd w:val="clear" w:color="auto" w:fill="auto"/>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水环境</w:t>
            </w:r>
            <w:r>
              <w:rPr>
                <w:rFonts w:hint="eastAsia" w:ascii="仿宋" w:hAnsi="仿宋" w:eastAsia="仿宋" w:cs="仿宋"/>
                <w:color w:val="auto"/>
                <w:sz w:val="21"/>
                <w:szCs w:val="21"/>
                <w:lang w:eastAsia="zh-CN"/>
              </w:rPr>
              <w:t>质量</w:t>
            </w:r>
          </w:p>
        </w:tc>
        <w:tc>
          <w:tcPr>
            <w:tcW w:w="1972" w:type="pct"/>
            <w:shd w:val="clear" w:color="auto" w:fill="auto"/>
            <w:vAlign w:val="center"/>
          </w:tcPr>
          <w:p>
            <w:pPr>
              <w:pStyle w:val="27"/>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城市水质指数</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无量纲</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负向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06" w:hRule="exac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lang w:val="en-US" w:eastAsia="zh-CN"/>
              </w:rPr>
            </w:pPr>
          </w:p>
        </w:tc>
        <w:tc>
          <w:tcPr>
            <w:tcW w:w="696" w:type="pct"/>
            <w:vMerge w:val="continue"/>
            <w:shd w:val="clear" w:color="auto" w:fill="auto"/>
            <w:vAlign w:val="center"/>
          </w:tcPr>
          <w:p>
            <w:pPr>
              <w:pStyle w:val="27"/>
              <w:jc w:val="center"/>
              <w:rPr>
                <w:rFonts w:hint="eastAsia" w:ascii="仿宋" w:hAnsi="仿宋" w:eastAsia="仿宋" w:cs="仿宋"/>
                <w:color w:val="auto"/>
                <w:sz w:val="21"/>
                <w:szCs w:val="21"/>
                <w:lang w:val="en-US" w:eastAsia="zh-CN"/>
              </w:rPr>
            </w:pPr>
          </w:p>
        </w:tc>
        <w:tc>
          <w:tcPr>
            <w:tcW w:w="1972" w:type="pct"/>
            <w:shd w:val="clear" w:color="auto" w:fill="auto"/>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地表水优良水质（I~III类）比例</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正向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696"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1972" w:type="pct"/>
            <w:shd w:val="clear" w:color="auto" w:fill="auto"/>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地表水劣V类水质比例</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负向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75" w:hRule="exac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696"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1972" w:type="pct"/>
            <w:shd w:val="clear" w:color="auto" w:fill="auto"/>
            <w:vAlign w:val="center"/>
          </w:tcPr>
          <w:p>
            <w:pPr>
              <w:pStyle w:val="27"/>
              <w:jc w:val="left"/>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县级</w:t>
            </w:r>
            <w:r>
              <w:rPr>
                <w:rFonts w:hint="eastAsia" w:ascii="仿宋" w:hAnsi="仿宋" w:eastAsia="仿宋" w:cs="仿宋"/>
                <w:sz w:val="21"/>
                <w:szCs w:val="21"/>
                <w:lang w:val="en-US" w:eastAsia="zh-CN"/>
              </w:rPr>
              <w:t>以上</w:t>
            </w:r>
            <w:r>
              <w:rPr>
                <w:rFonts w:hint="eastAsia" w:ascii="仿宋" w:hAnsi="仿宋" w:eastAsia="仿宋" w:cs="仿宋"/>
                <w:color w:val="auto"/>
                <w:sz w:val="21"/>
                <w:szCs w:val="21"/>
              </w:rPr>
              <w:t>集中式饮用水水源地水质达标率</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正向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75" w:hRule="atLeas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696"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1972" w:type="pct"/>
            <w:shd w:val="clear" w:color="auto" w:fill="auto"/>
            <w:vAlign w:val="center"/>
          </w:tcPr>
          <w:p>
            <w:pPr>
              <w:pStyle w:val="27"/>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地下水I~IV类水质点位比例</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正向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778" w:hRule="atLeas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lang w:val="en-US" w:eastAsia="zh-CN"/>
              </w:rPr>
            </w:pPr>
          </w:p>
        </w:tc>
        <w:tc>
          <w:tcPr>
            <w:tcW w:w="696" w:type="pct"/>
            <w:shd w:val="clear" w:color="auto" w:fill="auto"/>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辐射</w:t>
            </w:r>
            <w:r>
              <w:rPr>
                <w:rFonts w:hint="eastAsia" w:ascii="仿宋" w:hAnsi="仿宋" w:eastAsia="仿宋" w:cs="仿宋"/>
                <w:color w:val="auto"/>
                <w:sz w:val="21"/>
                <w:szCs w:val="21"/>
              </w:rPr>
              <w:t>环境</w:t>
            </w:r>
            <w:r>
              <w:rPr>
                <w:rFonts w:hint="eastAsia" w:ascii="仿宋" w:hAnsi="仿宋" w:eastAsia="仿宋" w:cs="仿宋"/>
                <w:color w:val="auto"/>
                <w:sz w:val="21"/>
                <w:szCs w:val="21"/>
                <w:lang w:eastAsia="zh-CN"/>
              </w:rPr>
              <w:t>质量</w:t>
            </w:r>
          </w:p>
        </w:tc>
        <w:tc>
          <w:tcPr>
            <w:tcW w:w="1972" w:type="pct"/>
            <w:shd w:val="clear" w:color="auto" w:fill="auto"/>
            <w:vAlign w:val="center"/>
          </w:tcPr>
          <w:p>
            <w:pPr>
              <w:pStyle w:val="27"/>
              <w:jc w:val="left"/>
              <w:rPr>
                <w:rFonts w:hint="eastAsia" w:ascii="仿宋" w:hAnsi="仿宋" w:eastAsia="仿宋" w:cs="仿宋"/>
                <w:color w:val="auto"/>
                <w:sz w:val="21"/>
                <w:szCs w:val="21"/>
                <w:vertAlign w:val="superscript"/>
              </w:rPr>
            </w:pPr>
            <w:r>
              <w:rPr>
                <w:rFonts w:hint="eastAsia" w:ascii="仿宋" w:hAnsi="仿宋" w:eastAsia="仿宋" w:cs="仿宋"/>
                <w:sz w:val="21"/>
                <w:szCs w:val="21"/>
              </w:rPr>
              <w:t>γ剂量率</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Gy/h</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负向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07" w:hRule="atLeas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696" w:type="pct"/>
            <w:vMerge w:val="restart"/>
            <w:shd w:val="clear" w:color="auto" w:fill="auto"/>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土壤环境</w:t>
            </w:r>
            <w:r>
              <w:rPr>
                <w:rFonts w:hint="eastAsia" w:ascii="仿宋" w:hAnsi="仿宋" w:eastAsia="仿宋" w:cs="仿宋"/>
                <w:color w:val="auto"/>
                <w:sz w:val="21"/>
                <w:szCs w:val="21"/>
                <w:lang w:eastAsia="zh-CN"/>
              </w:rPr>
              <w:t>质量</w:t>
            </w:r>
          </w:p>
        </w:tc>
        <w:tc>
          <w:tcPr>
            <w:tcW w:w="1972" w:type="pct"/>
            <w:shd w:val="clear" w:color="auto" w:fill="auto"/>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污染物含量未超过农用地土壤污染风险筛选值点位比例</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正向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696"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1972" w:type="pct"/>
            <w:shd w:val="clear" w:color="auto" w:fill="auto"/>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污染物含量超过农用地土壤污染风险管制值点位比例</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负向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696" w:type="pct"/>
            <w:vMerge w:val="restart"/>
            <w:shd w:val="clear" w:color="auto" w:fill="auto"/>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声环境</w:t>
            </w:r>
            <w:r>
              <w:rPr>
                <w:rFonts w:hint="eastAsia" w:ascii="仿宋" w:hAnsi="仿宋" w:eastAsia="仿宋" w:cs="仿宋"/>
                <w:color w:val="auto"/>
                <w:sz w:val="21"/>
                <w:szCs w:val="21"/>
                <w:lang w:eastAsia="zh-CN"/>
              </w:rPr>
              <w:t>质量</w:t>
            </w:r>
          </w:p>
        </w:tc>
        <w:tc>
          <w:tcPr>
            <w:tcW w:w="1972" w:type="pct"/>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声环境功能区昼间达标率</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正向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696"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1972" w:type="pct"/>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声环境功能区夜间达标率</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正向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68" w:type="pct"/>
            <w:vMerge w:val="restart"/>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绿色低碳水平</w:t>
            </w:r>
          </w:p>
        </w:tc>
        <w:tc>
          <w:tcPr>
            <w:tcW w:w="696" w:type="pct"/>
            <w:vMerge w:val="restart"/>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绿色发展水平</w:t>
            </w:r>
          </w:p>
        </w:tc>
        <w:tc>
          <w:tcPr>
            <w:tcW w:w="1972" w:type="pct"/>
            <w:vAlign w:val="center"/>
          </w:tcPr>
          <w:p>
            <w:pPr>
              <w:pStyle w:val="27"/>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人均GDP</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万元/人</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正向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696" w:type="pct"/>
            <w:vMerge w:val="continue"/>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p>
        </w:tc>
        <w:tc>
          <w:tcPr>
            <w:tcW w:w="1972" w:type="pct"/>
            <w:vAlign w:val="center"/>
          </w:tcPr>
          <w:p>
            <w:pPr>
              <w:pStyle w:val="27"/>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单位GDP全社会用电量</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亿千瓦时/万元</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负向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696" w:type="pct"/>
            <w:vMerge w:val="continue"/>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p>
        </w:tc>
        <w:tc>
          <w:tcPr>
            <w:tcW w:w="1972" w:type="pct"/>
            <w:vAlign w:val="center"/>
          </w:tcPr>
          <w:p>
            <w:pPr>
              <w:pStyle w:val="27"/>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单位工业产值用水量</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立方米/万元</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负向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8" w:hRule="exact"/>
          <w:jc w:val="center"/>
        </w:trPr>
        <w:tc>
          <w:tcPr>
            <w:tcW w:w="568" w:type="pct"/>
            <w:vMerge w:val="continue"/>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p>
        </w:tc>
        <w:tc>
          <w:tcPr>
            <w:tcW w:w="696" w:type="pct"/>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低碳水平</w:t>
            </w:r>
          </w:p>
        </w:tc>
        <w:tc>
          <w:tcPr>
            <w:tcW w:w="1972" w:type="pct"/>
            <w:vAlign w:val="center"/>
          </w:tcPr>
          <w:p>
            <w:pPr>
              <w:pStyle w:val="27"/>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单位GDP二氧化碳排放量</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吨/万元</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负向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61" w:hRule="exact"/>
          <w:jc w:val="center"/>
        </w:trPr>
        <w:tc>
          <w:tcPr>
            <w:tcW w:w="568" w:type="pct"/>
            <w:vMerge w:val="continue"/>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p>
        </w:tc>
        <w:tc>
          <w:tcPr>
            <w:tcW w:w="696" w:type="pct"/>
            <w:vMerge w:val="restart"/>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环境</w:t>
            </w:r>
            <w:r>
              <w:rPr>
                <w:rFonts w:hint="eastAsia" w:ascii="仿宋" w:hAnsi="仿宋" w:eastAsia="仿宋" w:cs="仿宋"/>
                <w:color w:val="auto"/>
                <w:sz w:val="21"/>
                <w:szCs w:val="21"/>
                <w:lang w:val="en-US" w:eastAsia="zh-CN"/>
              </w:rPr>
              <w:t>治理水平</w:t>
            </w:r>
          </w:p>
        </w:tc>
        <w:tc>
          <w:tcPr>
            <w:tcW w:w="1972" w:type="pct"/>
            <w:vAlign w:val="center"/>
          </w:tcPr>
          <w:p>
            <w:pPr>
              <w:pStyle w:val="27"/>
              <w:jc w:val="left"/>
              <w:rPr>
                <w:rFonts w:hint="eastAsia" w:ascii="仿宋" w:hAnsi="仿宋" w:eastAsia="仿宋" w:cs="仿宋"/>
                <w:color w:val="auto"/>
                <w:kern w:val="2"/>
                <w:sz w:val="21"/>
                <w:szCs w:val="21"/>
                <w:vertAlign w:val="superscript"/>
                <w:lang w:val="en-US" w:eastAsia="zh-CN" w:bidi="ar-SA"/>
              </w:rPr>
            </w:pPr>
            <w:r>
              <w:rPr>
                <w:rFonts w:hint="eastAsia" w:ascii="仿宋" w:hAnsi="仿宋" w:eastAsia="仿宋" w:cs="仿宋"/>
                <w:sz w:val="21"/>
                <w:szCs w:val="21"/>
                <w:lang w:val="en-US" w:eastAsia="zh-CN"/>
              </w:rPr>
              <w:t>主要环境空气污染物去除率</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正向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6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696" w:type="pct"/>
            <w:vMerge w:val="continue"/>
            <w:shd w:val="clear" w:color="auto" w:fill="auto"/>
            <w:vAlign w:val="center"/>
          </w:tcPr>
          <w:p>
            <w:pPr>
              <w:pStyle w:val="27"/>
              <w:jc w:val="left"/>
              <w:rPr>
                <w:rFonts w:hint="eastAsia" w:ascii="仿宋" w:hAnsi="仿宋" w:eastAsia="仿宋" w:cs="仿宋"/>
                <w:kern w:val="2"/>
                <w:sz w:val="21"/>
                <w:szCs w:val="21"/>
                <w:lang w:val="en-US" w:eastAsia="zh-CN" w:bidi="ar-SA"/>
              </w:rPr>
            </w:pPr>
          </w:p>
        </w:tc>
        <w:tc>
          <w:tcPr>
            <w:tcW w:w="1972" w:type="pct"/>
            <w:vAlign w:val="center"/>
          </w:tcPr>
          <w:p>
            <w:pPr>
              <w:pStyle w:val="27"/>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主要水环境污染物去除率</w:t>
            </w:r>
          </w:p>
        </w:tc>
        <w:tc>
          <w:tcPr>
            <w:tcW w:w="1245"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p>
        </w:tc>
        <w:tc>
          <w:tcPr>
            <w:tcW w:w="516"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正向</w:t>
            </w:r>
          </w:p>
        </w:tc>
      </w:tr>
    </w:tbl>
    <w:p>
      <w:pPr>
        <w:pStyle w:val="27"/>
        <w:rPr>
          <w:rFonts w:hint="eastAsia"/>
          <w:sz w:val="32"/>
          <w:szCs w:val="32"/>
        </w:rPr>
      </w:pPr>
    </w:p>
    <w:p>
      <w:pPr>
        <w:ind w:firstLine="56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3.各指标选取理由</w:t>
      </w:r>
    </w:p>
    <w:p>
      <w:pPr>
        <w:ind w:firstLine="56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）生态</w:t>
      </w:r>
      <w:r>
        <w:rPr>
          <w:rFonts w:hint="eastAsia" w:ascii="仿宋" w:hAnsi="仿宋" w:eastAsia="仿宋" w:cs="仿宋"/>
          <w:b/>
          <w:bCs/>
          <w:sz w:val="32"/>
          <w:szCs w:val="32"/>
          <w:lang w:val="en-US" w:eastAsia="zh-CN"/>
        </w:rPr>
        <w:t>质量水平</w:t>
      </w:r>
    </w:p>
    <w:p>
      <w:pPr>
        <w:ind w:firstLine="560"/>
        <w:rPr>
          <w:rFonts w:hint="eastAsia" w:ascii="仿宋" w:hAnsi="仿宋" w:eastAsia="仿宋" w:cs="仿宋"/>
          <w:sz w:val="32"/>
          <w:szCs w:val="32"/>
        </w:rPr>
      </w:pPr>
      <w:r>
        <w:rPr>
          <w:rFonts w:hint="eastAsia" w:ascii="仿宋" w:hAnsi="仿宋" w:eastAsia="仿宋" w:cs="仿宋"/>
          <w:sz w:val="32"/>
          <w:szCs w:val="32"/>
        </w:rPr>
        <w:t>生态</w:t>
      </w:r>
      <w:r>
        <w:rPr>
          <w:rFonts w:hint="eastAsia" w:ascii="仿宋" w:hAnsi="仿宋" w:eastAsia="仿宋" w:cs="仿宋"/>
          <w:sz w:val="32"/>
          <w:szCs w:val="32"/>
          <w:lang w:val="en-US" w:eastAsia="zh-CN"/>
        </w:rPr>
        <w:t>质量水平</w:t>
      </w:r>
      <w:r>
        <w:rPr>
          <w:rFonts w:hint="eastAsia" w:ascii="仿宋" w:hAnsi="仿宋" w:eastAsia="仿宋" w:cs="仿宋"/>
          <w:sz w:val="32"/>
          <w:szCs w:val="32"/>
        </w:rPr>
        <w:t>用于表征评价区域生态环境良好状况。生态评价首先要对生态环境的现状进行评估，评价生态环境的分布格局，从适宜人类生存和发展的角度评估生态环境的优劣状况；生态功能是对生态环境起稳定调节作用的功能，是人类生存和发展的基础，对重要生态功能进行评价十分有必要；生物多样性一方面为人类提供基本的环境，另一方面为人类提供丰富的资源，直接影响生态系统的稳定性和持续性；评估人类活动对生态环境产生的影响，与生态系统管理中的生态考核相适应，可以推测人类社会发展对生态环境的影响。</w:t>
      </w:r>
    </w:p>
    <w:p>
      <w:pPr>
        <w:ind w:firstLine="560"/>
        <w:rPr>
          <w:rFonts w:hint="eastAsia" w:ascii="仿宋" w:hAnsi="仿宋" w:eastAsia="仿宋" w:cs="仿宋"/>
          <w:sz w:val="32"/>
          <w:szCs w:val="32"/>
        </w:rPr>
      </w:pPr>
      <w:r>
        <w:rPr>
          <w:rFonts w:hint="eastAsia" w:ascii="仿宋" w:hAnsi="仿宋" w:eastAsia="仿宋" w:cs="仿宋"/>
          <w:sz w:val="32"/>
          <w:szCs w:val="32"/>
        </w:rPr>
        <w:t>综上所述，项目组选取了能够综合反映上述内容且计算方法已经成熟的生态质量指数（EQI）作为生态分指数的代表性指标。2021年生态环境部印发的《区域生态质量评价办法（试行）》，生态质量指数“EQI”首次纳入了“十四五”生态环境保护主要指标。EQI是用于评估特定区域生态系统状况的指标，它是一种综合性的指数，结合了多个生态相关指标，用于量化和描述生态系统的质量和可持续性。</w:t>
      </w:r>
    </w:p>
    <w:p>
      <w:pPr>
        <w:ind w:firstLine="560"/>
        <w:rPr>
          <w:rFonts w:hint="default" w:ascii="仿宋" w:hAnsi="仿宋" w:eastAsia="仿宋" w:cs="仿宋"/>
          <w:b/>
          <w:bCs/>
          <w:sz w:val="32"/>
          <w:szCs w:val="32"/>
          <w:lang w:val="en-US"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）环境</w:t>
      </w:r>
      <w:r>
        <w:rPr>
          <w:rFonts w:hint="eastAsia" w:ascii="仿宋" w:hAnsi="仿宋" w:eastAsia="仿宋" w:cs="仿宋"/>
          <w:b/>
          <w:bCs/>
          <w:sz w:val="32"/>
          <w:szCs w:val="32"/>
          <w:lang w:val="en-US" w:eastAsia="zh-CN"/>
        </w:rPr>
        <w:t>质量水平</w:t>
      </w:r>
    </w:p>
    <w:p>
      <w:pPr>
        <w:ind w:firstLine="560"/>
        <w:rPr>
          <w:rFonts w:hint="eastAsia" w:ascii="仿宋" w:hAnsi="仿宋" w:eastAsia="仿宋" w:cs="仿宋"/>
          <w:sz w:val="32"/>
          <w:szCs w:val="32"/>
        </w:rPr>
      </w:pPr>
      <w:r>
        <w:rPr>
          <w:rFonts w:hint="eastAsia" w:ascii="仿宋" w:hAnsi="仿宋" w:eastAsia="仿宋" w:cs="仿宋"/>
          <w:sz w:val="32"/>
          <w:szCs w:val="32"/>
          <w:lang w:eastAsia="zh-CN"/>
        </w:rPr>
        <w:t>环境质量</w:t>
      </w:r>
      <w:r>
        <w:rPr>
          <w:rFonts w:hint="eastAsia" w:ascii="仿宋" w:hAnsi="仿宋" w:eastAsia="仿宋" w:cs="仿宋"/>
          <w:sz w:val="32"/>
          <w:szCs w:val="32"/>
          <w:lang w:val="en-US" w:eastAsia="zh-CN"/>
        </w:rPr>
        <w:t>水平</w:t>
      </w:r>
      <w:r>
        <w:rPr>
          <w:rFonts w:hint="eastAsia" w:ascii="仿宋" w:hAnsi="仿宋" w:eastAsia="仿宋" w:cs="仿宋"/>
          <w:sz w:val="32"/>
          <w:szCs w:val="32"/>
        </w:rPr>
        <w:t>用于表征评价区域环境质量良好状况，二级指标为空气环境</w:t>
      </w:r>
      <w:r>
        <w:rPr>
          <w:rFonts w:hint="eastAsia" w:ascii="仿宋" w:hAnsi="仿宋" w:eastAsia="仿宋" w:cs="仿宋"/>
          <w:sz w:val="32"/>
          <w:szCs w:val="32"/>
          <w:lang w:val="en-US" w:eastAsia="zh-CN"/>
        </w:rPr>
        <w:t>质量</w:t>
      </w:r>
      <w:r>
        <w:rPr>
          <w:rFonts w:hint="eastAsia" w:ascii="仿宋" w:hAnsi="仿宋" w:eastAsia="仿宋" w:cs="仿宋"/>
          <w:sz w:val="32"/>
          <w:szCs w:val="32"/>
        </w:rPr>
        <w:t>、水环境</w:t>
      </w:r>
      <w:r>
        <w:rPr>
          <w:rFonts w:hint="eastAsia" w:ascii="仿宋" w:hAnsi="仿宋" w:eastAsia="仿宋" w:cs="仿宋"/>
          <w:sz w:val="32"/>
          <w:szCs w:val="32"/>
          <w:lang w:val="en-US" w:eastAsia="zh-CN"/>
        </w:rPr>
        <w:t>质量</w:t>
      </w:r>
      <w:r>
        <w:rPr>
          <w:rFonts w:hint="eastAsia" w:ascii="仿宋" w:hAnsi="仿宋" w:eastAsia="仿宋" w:cs="仿宋"/>
          <w:sz w:val="32"/>
          <w:szCs w:val="32"/>
        </w:rPr>
        <w:t>、土壤环境</w:t>
      </w:r>
      <w:r>
        <w:rPr>
          <w:rFonts w:hint="eastAsia" w:ascii="仿宋" w:hAnsi="仿宋" w:eastAsia="仿宋" w:cs="仿宋"/>
          <w:sz w:val="32"/>
          <w:szCs w:val="32"/>
          <w:lang w:val="en-US" w:eastAsia="zh-CN"/>
        </w:rPr>
        <w:t>质量</w:t>
      </w:r>
      <w:r>
        <w:rPr>
          <w:rFonts w:hint="eastAsia" w:ascii="仿宋" w:hAnsi="仿宋" w:eastAsia="仿宋" w:cs="仿宋"/>
          <w:sz w:val="32"/>
          <w:szCs w:val="32"/>
        </w:rPr>
        <w:t>、声环境</w:t>
      </w:r>
      <w:r>
        <w:rPr>
          <w:rFonts w:hint="eastAsia" w:ascii="仿宋" w:hAnsi="仿宋" w:eastAsia="仿宋" w:cs="仿宋"/>
          <w:sz w:val="32"/>
          <w:szCs w:val="32"/>
          <w:lang w:val="en-US" w:eastAsia="zh-CN"/>
        </w:rPr>
        <w:t>质量</w:t>
      </w:r>
      <w:r>
        <w:rPr>
          <w:rFonts w:hint="eastAsia" w:ascii="仿宋" w:hAnsi="仿宋" w:eastAsia="仿宋" w:cs="仿宋"/>
          <w:sz w:val="32"/>
          <w:szCs w:val="32"/>
        </w:rPr>
        <w:t>和</w:t>
      </w:r>
      <w:r>
        <w:rPr>
          <w:rFonts w:hint="eastAsia" w:ascii="仿宋" w:hAnsi="仿宋" w:eastAsia="仿宋" w:cs="仿宋"/>
          <w:sz w:val="32"/>
          <w:szCs w:val="32"/>
          <w:lang w:val="en-US" w:eastAsia="zh-CN"/>
        </w:rPr>
        <w:t>辐射环境质量</w:t>
      </w:r>
      <w:r>
        <w:rPr>
          <w:rFonts w:hint="eastAsia" w:ascii="仿宋" w:hAnsi="仿宋" w:eastAsia="仿宋" w:cs="仿宋"/>
          <w:sz w:val="32"/>
          <w:szCs w:val="32"/>
        </w:rPr>
        <w:t>。</w:t>
      </w:r>
    </w:p>
    <w:p>
      <w:pPr>
        <w:ind w:firstLine="560"/>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a</w:t>
      </w:r>
      <w:r>
        <w:rPr>
          <w:rFonts w:hint="eastAsia" w:ascii="仿宋" w:hAnsi="仿宋" w:eastAsia="仿宋" w:cs="仿宋"/>
          <w:b/>
          <w:bCs/>
          <w:sz w:val="32"/>
          <w:szCs w:val="32"/>
        </w:rPr>
        <w:t>.空气环境</w:t>
      </w:r>
      <w:r>
        <w:rPr>
          <w:rFonts w:hint="eastAsia" w:ascii="仿宋" w:hAnsi="仿宋" w:eastAsia="仿宋" w:cs="仿宋"/>
          <w:b/>
          <w:bCs/>
          <w:sz w:val="32"/>
          <w:szCs w:val="32"/>
          <w:lang w:val="en-US" w:eastAsia="zh-CN"/>
        </w:rPr>
        <w:t>质量</w:t>
      </w:r>
    </w:p>
    <w:p>
      <w:pPr>
        <w:ind w:firstLine="560"/>
        <w:rPr>
          <w:rFonts w:hint="eastAsia" w:ascii="仿宋" w:hAnsi="仿宋" w:eastAsia="仿宋" w:cs="仿宋"/>
          <w:sz w:val="32"/>
          <w:szCs w:val="32"/>
          <w:lang w:eastAsia="zh-CN"/>
        </w:rPr>
      </w:pPr>
      <w:r>
        <w:rPr>
          <w:rFonts w:hint="eastAsia" w:ascii="仿宋" w:hAnsi="仿宋" w:eastAsia="仿宋" w:cs="仿宋"/>
          <w:sz w:val="32"/>
          <w:szCs w:val="32"/>
        </w:rPr>
        <w:t>空气质量直接影响人类健康，不良的空气质量会导致呼吸道疾病、心血管疾病和其他健康问题，评估空气质量可以帮助监测和预防潜在的健康风险。良好的环境空气质量是实现环境可持续性的重要组成部分。</w:t>
      </w:r>
      <w:bookmarkStart w:id="1" w:name="_Hlk144988345"/>
      <w:r>
        <w:rPr>
          <w:rFonts w:hint="eastAsia" w:ascii="仿宋" w:hAnsi="仿宋" w:eastAsia="仿宋" w:cs="仿宋"/>
          <w:sz w:val="32"/>
          <w:szCs w:val="32"/>
        </w:rPr>
        <w:t>为合理评价空气环境</w:t>
      </w:r>
      <w:r>
        <w:rPr>
          <w:rFonts w:hint="eastAsia" w:ascii="仿宋" w:hAnsi="仿宋" w:eastAsia="仿宋" w:cs="仿宋"/>
          <w:sz w:val="32"/>
          <w:szCs w:val="32"/>
          <w:lang w:val="en-US" w:eastAsia="zh-CN"/>
        </w:rPr>
        <w:t>质量</w:t>
      </w:r>
      <w:r>
        <w:rPr>
          <w:rFonts w:hint="eastAsia" w:ascii="仿宋" w:hAnsi="仿宋" w:eastAsia="仿宋" w:cs="仿宋"/>
          <w:sz w:val="32"/>
          <w:szCs w:val="32"/>
        </w:rPr>
        <w:t>，项目组选择了具有长期监测，计算成熟、数据来源准确等特征的</w:t>
      </w:r>
      <w:bookmarkEnd w:id="1"/>
      <w:r>
        <w:rPr>
          <w:rFonts w:hint="eastAsia" w:ascii="仿宋" w:hAnsi="仿宋" w:eastAsia="仿宋" w:cs="仿宋"/>
          <w:sz w:val="32"/>
          <w:szCs w:val="32"/>
          <w:lang w:val="en-US" w:eastAsia="zh-CN"/>
        </w:rPr>
        <w:t>空气质量综合指数、</w:t>
      </w:r>
      <w:r>
        <w:rPr>
          <w:rFonts w:hint="eastAsia" w:ascii="仿宋" w:hAnsi="仿宋" w:eastAsia="仿宋" w:cs="仿宋"/>
          <w:sz w:val="32"/>
          <w:szCs w:val="32"/>
        </w:rPr>
        <w:t>PM2.5浓度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O3浓度、</w:t>
      </w:r>
      <w:r>
        <w:rPr>
          <w:rFonts w:hint="eastAsia" w:ascii="仿宋" w:hAnsi="仿宋" w:eastAsia="仿宋" w:cs="仿宋"/>
          <w:sz w:val="32"/>
          <w:szCs w:val="32"/>
        </w:rPr>
        <w:t>环境空气优良天数比例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重度</w:t>
      </w:r>
      <w:r>
        <w:rPr>
          <w:rFonts w:hint="eastAsia" w:ascii="仿宋" w:hAnsi="仿宋" w:eastAsia="仿宋" w:cs="仿宋"/>
          <w:sz w:val="32"/>
          <w:szCs w:val="32"/>
        </w:rPr>
        <w:t>污染天数比例</w:t>
      </w:r>
      <w:r>
        <w:rPr>
          <w:rFonts w:hint="eastAsia" w:ascii="仿宋" w:hAnsi="仿宋" w:eastAsia="仿宋" w:cs="仿宋"/>
          <w:sz w:val="32"/>
          <w:szCs w:val="32"/>
          <w:lang w:eastAsia="zh-CN"/>
        </w:rPr>
        <w:t>。</w:t>
      </w:r>
    </w:p>
    <w:p>
      <w:pPr>
        <w:ind w:firstLine="56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b</w:t>
      </w:r>
      <w:r>
        <w:rPr>
          <w:rFonts w:hint="eastAsia" w:ascii="仿宋" w:hAnsi="仿宋" w:eastAsia="仿宋" w:cs="仿宋"/>
          <w:b/>
          <w:bCs/>
          <w:sz w:val="32"/>
          <w:szCs w:val="32"/>
        </w:rPr>
        <w:t>.水环境</w:t>
      </w:r>
      <w:r>
        <w:rPr>
          <w:rFonts w:hint="eastAsia" w:ascii="仿宋" w:hAnsi="仿宋" w:eastAsia="仿宋" w:cs="仿宋"/>
          <w:b/>
          <w:bCs/>
          <w:sz w:val="32"/>
          <w:szCs w:val="32"/>
          <w:lang w:val="en-US" w:eastAsia="zh-CN"/>
        </w:rPr>
        <w:t>质量</w:t>
      </w:r>
    </w:p>
    <w:p>
      <w:pPr>
        <w:spacing w:line="360" w:lineRule="auto"/>
        <w:ind w:firstLine="560"/>
        <w:rPr>
          <w:rFonts w:hint="eastAsia" w:ascii="仿宋" w:hAnsi="仿宋" w:eastAsia="仿宋" w:cs="仿宋"/>
          <w:sz w:val="32"/>
          <w:szCs w:val="32"/>
        </w:rPr>
      </w:pPr>
      <w:r>
        <w:rPr>
          <w:rFonts w:hint="eastAsia" w:ascii="仿宋" w:hAnsi="仿宋" w:eastAsia="仿宋" w:cs="仿宋"/>
          <w:sz w:val="32"/>
          <w:szCs w:val="32"/>
        </w:rPr>
        <w:t>监测水质极其重要，水是我们生活中最基本和必需的资源之一，对人类的健康和环境具有重大影响。同时，水是许多生态系统的基础，包括湖泊、河流等，通过监测水质，可以及早发现并解决水体污染问题，保护和维护生态系统的稳定性和多样性。水质的监测还可以帮助我们了解水资源的状况和趋势及时发现并解决水体污染问题，保护水资源的可持续利用，确保供应清洁的水源。水环境水质状况分为地表水、地下水和饮用水水源地水质，分别从这三个方面选择指标，确保评价的全面性和综合性。</w:t>
      </w:r>
    </w:p>
    <w:p>
      <w:pPr>
        <w:ind w:firstLine="56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c</w:t>
      </w:r>
      <w:r>
        <w:rPr>
          <w:rFonts w:hint="eastAsia" w:ascii="仿宋" w:hAnsi="仿宋" w:eastAsia="仿宋" w:cs="仿宋"/>
          <w:b/>
          <w:bCs/>
          <w:sz w:val="32"/>
          <w:szCs w:val="32"/>
        </w:rPr>
        <w:t>.土壤环境</w:t>
      </w:r>
      <w:r>
        <w:rPr>
          <w:rFonts w:hint="eastAsia" w:ascii="仿宋" w:hAnsi="仿宋" w:eastAsia="仿宋" w:cs="仿宋"/>
          <w:b/>
          <w:bCs/>
          <w:sz w:val="32"/>
          <w:szCs w:val="32"/>
          <w:lang w:val="en-US" w:eastAsia="zh-CN"/>
        </w:rPr>
        <w:t>质量</w:t>
      </w:r>
    </w:p>
    <w:p>
      <w:pPr>
        <w:ind w:firstLine="560"/>
        <w:rPr>
          <w:rFonts w:hint="eastAsia" w:ascii="仿宋" w:hAnsi="仿宋" w:eastAsia="仿宋" w:cs="仿宋"/>
          <w:sz w:val="32"/>
          <w:szCs w:val="32"/>
        </w:rPr>
      </w:pPr>
      <w:r>
        <w:rPr>
          <w:rFonts w:hint="eastAsia" w:ascii="仿宋" w:hAnsi="仿宋" w:eastAsia="仿宋" w:cs="仿宋"/>
          <w:sz w:val="32"/>
          <w:szCs w:val="32"/>
        </w:rPr>
        <w:t>土壤是地球生态系统的重要组成部分，是农作物生长的基础，土壤环境质量直接关系到农作物的产量和品质，良好的土壤环境质量可以提供充足的养分、适宜的水分和气候条件，为农作物的生长提供良好的生态环境。良好的土壤环境质量可以保护和促进土壤生物多样性，维持生态系统的平衡和稳定性，可以提供适宜的水分保持能力，减少水资源的流失和污染，维护地下水的质量和水文循环的平衡。考虑土壤污染风险以及生态环境监测网点的数据可靠性，项目组选择了两个代表性指标，未超过土壤污染风险筛选值点位比例指标（正向）和超过土壤污染风险管制值点位比例指标（负向），使得评价更加全面综合。</w:t>
      </w:r>
    </w:p>
    <w:p>
      <w:pPr>
        <w:ind w:firstLine="56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d</w:t>
      </w:r>
      <w:r>
        <w:rPr>
          <w:rFonts w:hint="eastAsia" w:ascii="仿宋" w:hAnsi="仿宋" w:eastAsia="仿宋" w:cs="仿宋"/>
          <w:b/>
          <w:bCs/>
          <w:sz w:val="32"/>
          <w:szCs w:val="32"/>
        </w:rPr>
        <w:t>.声环境</w:t>
      </w:r>
      <w:r>
        <w:rPr>
          <w:rFonts w:hint="eastAsia" w:ascii="仿宋" w:hAnsi="仿宋" w:eastAsia="仿宋" w:cs="仿宋"/>
          <w:b/>
          <w:bCs/>
          <w:sz w:val="32"/>
          <w:szCs w:val="32"/>
          <w:lang w:val="en-US" w:eastAsia="zh-CN"/>
        </w:rPr>
        <w:t>质量</w:t>
      </w:r>
    </w:p>
    <w:p>
      <w:pPr>
        <w:ind w:firstLine="560"/>
        <w:rPr>
          <w:rFonts w:hint="eastAsia" w:ascii="仿宋" w:hAnsi="仿宋" w:eastAsia="仿宋" w:cs="仿宋"/>
          <w:sz w:val="32"/>
          <w:szCs w:val="32"/>
        </w:rPr>
      </w:pPr>
      <w:r>
        <w:rPr>
          <w:rFonts w:hint="eastAsia" w:ascii="仿宋" w:hAnsi="仿宋" w:eastAsia="仿宋" w:cs="仿宋"/>
          <w:sz w:val="32"/>
          <w:szCs w:val="32"/>
        </w:rPr>
        <w:t>声环境质量是评估和管理环境中声音的质量和影响的概念，主要关注噪声和声音对人类健康和生活质量的影响，声环境质量的评价涉及测量和分析噪声水平、频谱特征、声音传播路径等因素。项目组根据《环境噪声监测技术规范城市声环境常规监测》（HJ640），选择了声环境功能区昼间达标率和声环境功能区夜间达标率两个指标，昼间和夜间分开评估的指标，使得声环境评价更加综合全面。</w:t>
      </w:r>
    </w:p>
    <w:p>
      <w:pPr>
        <w:ind w:firstLine="56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e</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辐射环境质量</w:t>
      </w:r>
    </w:p>
    <w:p>
      <w:pPr>
        <w:spacing w:line="360" w:lineRule="auto"/>
        <w:ind w:firstLine="560"/>
        <w:rPr>
          <w:rFonts w:hint="eastAsia" w:ascii="仿宋" w:hAnsi="仿宋" w:eastAsia="仿宋" w:cs="仿宋"/>
          <w:sz w:val="32"/>
          <w:szCs w:val="32"/>
        </w:rPr>
      </w:pPr>
      <w:r>
        <w:rPr>
          <w:rFonts w:hint="eastAsia" w:ascii="仿宋" w:hAnsi="仿宋" w:eastAsia="仿宋" w:cs="仿宋"/>
          <w:sz w:val="32"/>
          <w:szCs w:val="32"/>
        </w:rPr>
        <w:t>辐射环境质量是评估环境中电离辐射水平及其对生态系统和人体健康影响的核心指标，重点关注天然放射性物质和人工辐射源的分布特征。电离辐射通过γ射线等形式作用于生物体，长期暴露可能引发基因突变、癌症发病率上升等健康风险。为保障人居环境安全，特将γ剂量率纳入评价指标体系。</w:t>
      </w:r>
    </w:p>
    <w:p>
      <w:pPr>
        <w:spacing w:line="360" w:lineRule="auto"/>
        <w:ind w:firstLine="560"/>
        <w:rPr>
          <w:rFonts w:hint="default" w:ascii="仿宋" w:hAnsi="仿宋" w:eastAsia="仿宋" w:cs="仿宋"/>
          <w:sz w:val="32"/>
          <w:szCs w:val="32"/>
          <w:lang w:val="en-US" w:eastAsia="zh-CN"/>
        </w:rPr>
      </w:pPr>
      <w:r>
        <w:rPr>
          <w:rFonts w:hint="eastAsia" w:ascii="仿宋" w:hAnsi="仿宋" w:eastAsia="仿宋" w:cs="仿宋"/>
          <w:sz w:val="32"/>
          <w:szCs w:val="32"/>
        </w:rPr>
        <w:t>项目组依据《电离辐射防护与辐射源安全基本标准》（GB 18871-2002），选择γ剂量率作为辐射环境质量的代表性指标</w:t>
      </w:r>
      <w:r>
        <w:rPr>
          <w:rFonts w:hint="eastAsia" w:ascii="仿宋" w:hAnsi="仿宋" w:eastAsia="仿宋" w:cs="仿宋"/>
          <w:sz w:val="32"/>
          <w:szCs w:val="32"/>
          <w:lang w:eastAsia="zh-CN"/>
        </w:rPr>
        <w:t>。</w:t>
      </w:r>
    </w:p>
    <w:p>
      <w:pPr>
        <w:spacing w:line="360" w:lineRule="auto"/>
        <w:ind w:firstLine="56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）绿色低碳水平</w:t>
      </w:r>
    </w:p>
    <w:p>
      <w:pPr>
        <w:spacing w:line="360" w:lineRule="auto"/>
        <w:ind w:firstLine="560"/>
        <w:rPr>
          <w:rFonts w:hint="eastAsia" w:ascii="仿宋" w:hAnsi="仿宋" w:eastAsia="仿宋" w:cs="仿宋"/>
          <w:sz w:val="32"/>
          <w:szCs w:val="32"/>
        </w:rPr>
      </w:pPr>
      <w:r>
        <w:rPr>
          <w:rFonts w:hint="eastAsia" w:ascii="仿宋" w:hAnsi="仿宋" w:eastAsia="仿宋" w:cs="仿宋"/>
          <w:sz w:val="32"/>
          <w:szCs w:val="32"/>
        </w:rPr>
        <w:t>绿色低碳水平是衡量区域经济社会发展与资源环境协调程度的重要标尺，聚焦能源效率提升、碳排放控制和污染治理能力，旨在构建“生态优先、绿色增长”的高质量发展模式。该指标体系通过多维量化评估，引导产业转型升级，降低生态足迹，实现碳达峰碳中和目标。</w:t>
      </w:r>
    </w:p>
    <w:p>
      <w:pPr>
        <w:spacing w:line="360" w:lineRule="auto"/>
        <w:ind w:firstLine="560"/>
        <w:rPr>
          <w:rFonts w:hint="eastAsia" w:ascii="仿宋" w:hAnsi="仿宋" w:eastAsia="仿宋" w:cs="仿宋"/>
          <w:sz w:val="32"/>
          <w:szCs w:val="32"/>
        </w:rPr>
      </w:pPr>
      <w:r>
        <w:rPr>
          <w:rFonts w:hint="eastAsia" w:ascii="仿宋" w:hAnsi="仿宋" w:eastAsia="仿宋" w:cs="仿宋"/>
          <w:sz w:val="32"/>
          <w:szCs w:val="32"/>
        </w:rPr>
        <w:t>项目组依据《浙江省绿色低碳发展指数评价导则》（浙环函〔2022〕12号）及《丽水市生态产品价值实现机制试点方案》，构建“绿色发展-低碳排放-环境治理”三位一体评价框架。</w:t>
      </w:r>
    </w:p>
    <w:p>
      <w:pPr>
        <w:spacing w:line="360" w:lineRule="auto"/>
        <w:ind w:firstLine="560"/>
        <w:rPr>
          <w:rFonts w:hint="eastAsia" w:ascii="仿宋" w:hAnsi="仿宋" w:eastAsia="仿宋" w:cs="仿宋"/>
          <w:b/>
          <w:bCs/>
          <w:sz w:val="32"/>
          <w:szCs w:val="32"/>
        </w:rPr>
      </w:pPr>
      <w:r>
        <w:rPr>
          <w:rFonts w:hint="eastAsia" w:ascii="仿宋" w:hAnsi="仿宋" w:eastAsia="仿宋" w:cs="仿宋"/>
          <w:b/>
          <w:bCs/>
          <w:sz w:val="32"/>
          <w:szCs w:val="32"/>
          <w:lang w:val="en-US" w:eastAsia="zh-CN"/>
        </w:rPr>
        <w:t>a.</w:t>
      </w:r>
      <w:r>
        <w:rPr>
          <w:rFonts w:hint="eastAsia" w:ascii="仿宋" w:hAnsi="仿宋" w:eastAsia="仿宋" w:cs="仿宋"/>
          <w:b/>
          <w:bCs/>
          <w:sz w:val="32"/>
          <w:szCs w:val="32"/>
        </w:rPr>
        <w:t>绿色发展分指数</w:t>
      </w:r>
    </w:p>
    <w:p>
      <w:pPr>
        <w:spacing w:line="360" w:lineRule="auto"/>
        <w:ind w:firstLine="560"/>
        <w:rPr>
          <w:rFonts w:hint="eastAsia" w:ascii="仿宋" w:hAnsi="仿宋" w:eastAsia="仿宋" w:cs="仿宋"/>
          <w:sz w:val="32"/>
          <w:szCs w:val="32"/>
        </w:rPr>
      </w:pPr>
      <w:r>
        <w:rPr>
          <w:rFonts w:hint="eastAsia" w:ascii="仿宋" w:hAnsi="仿宋" w:eastAsia="仿宋" w:cs="仿宋"/>
          <w:sz w:val="32"/>
          <w:szCs w:val="32"/>
        </w:rPr>
        <w:t>绿色发展分指数通过能源资源利用效率反映经济绿色化转型成效，体现“绿水青山就是金山银山”转化路径的经济可行性。</w:t>
      </w:r>
      <w:r>
        <w:rPr>
          <w:rFonts w:hint="eastAsia" w:ascii="仿宋" w:hAnsi="仿宋" w:eastAsia="仿宋" w:cs="仿宋"/>
          <w:sz w:val="32"/>
          <w:szCs w:val="32"/>
          <w:lang w:val="en-US" w:eastAsia="zh-CN"/>
        </w:rPr>
        <w:t>项目组选取的指标：</w:t>
      </w:r>
      <w:r>
        <w:rPr>
          <w:rFonts w:hint="eastAsia" w:ascii="仿宋" w:hAnsi="仿宋" w:eastAsia="仿宋" w:cs="仿宋"/>
          <w:sz w:val="32"/>
          <w:szCs w:val="32"/>
        </w:rPr>
        <w:t>人均GDP作为核心指标，反映区域经济发展水平和居民生活质量</w:t>
      </w:r>
      <w:r>
        <w:rPr>
          <w:rFonts w:hint="eastAsia" w:ascii="仿宋" w:hAnsi="仿宋" w:eastAsia="仿宋" w:cs="仿宋"/>
          <w:sz w:val="32"/>
          <w:szCs w:val="32"/>
          <w:lang w:val="en-US" w:eastAsia="zh-CN"/>
        </w:rPr>
        <w:t>；</w:t>
      </w:r>
      <w:r>
        <w:rPr>
          <w:rFonts w:hint="eastAsia" w:ascii="仿宋" w:hAnsi="仿宋" w:eastAsia="仿宋" w:cs="仿宋"/>
          <w:sz w:val="32"/>
          <w:szCs w:val="32"/>
        </w:rPr>
        <w:t>单位GDP全社会用电量衡量经济发展与能源消耗的脱钩程度</w:t>
      </w:r>
      <w:r>
        <w:rPr>
          <w:rFonts w:hint="eastAsia" w:ascii="仿宋" w:hAnsi="仿宋" w:eastAsia="仿宋" w:cs="仿宋"/>
          <w:sz w:val="32"/>
          <w:szCs w:val="32"/>
          <w:lang w:val="en-US" w:eastAsia="zh-CN"/>
        </w:rPr>
        <w:t>；</w:t>
      </w:r>
      <w:r>
        <w:rPr>
          <w:rFonts w:hint="eastAsia" w:ascii="仿宋" w:hAnsi="仿宋" w:eastAsia="仿宋" w:cs="仿宋"/>
          <w:sz w:val="32"/>
          <w:szCs w:val="32"/>
        </w:rPr>
        <w:t>单位工业产值用水量评估工业水资源利用效率。</w:t>
      </w:r>
    </w:p>
    <w:p>
      <w:pPr>
        <w:spacing w:line="360" w:lineRule="auto"/>
        <w:ind w:firstLine="560"/>
        <w:rPr>
          <w:rFonts w:hint="eastAsia" w:ascii="仿宋" w:hAnsi="仿宋" w:eastAsia="仿宋" w:cs="仿宋"/>
          <w:b/>
          <w:bCs/>
          <w:sz w:val="32"/>
          <w:szCs w:val="32"/>
        </w:rPr>
      </w:pPr>
      <w:r>
        <w:rPr>
          <w:rFonts w:hint="eastAsia" w:ascii="仿宋" w:hAnsi="仿宋" w:eastAsia="仿宋" w:cs="仿宋"/>
          <w:b/>
          <w:bCs/>
          <w:sz w:val="32"/>
          <w:szCs w:val="32"/>
          <w:lang w:val="en-US" w:eastAsia="zh-CN"/>
        </w:rPr>
        <w:t>b.</w:t>
      </w:r>
      <w:r>
        <w:rPr>
          <w:rFonts w:hint="eastAsia" w:ascii="仿宋" w:hAnsi="仿宋" w:eastAsia="仿宋" w:cs="仿宋"/>
          <w:b/>
          <w:bCs/>
          <w:sz w:val="32"/>
          <w:szCs w:val="32"/>
        </w:rPr>
        <w:t>低碳分指数</w:t>
      </w:r>
    </w:p>
    <w:p>
      <w:pPr>
        <w:spacing w:line="360" w:lineRule="auto"/>
        <w:ind w:firstLine="560"/>
        <w:rPr>
          <w:rFonts w:hint="eastAsia" w:ascii="仿宋" w:hAnsi="仿宋" w:eastAsia="仿宋" w:cs="仿宋"/>
          <w:sz w:val="32"/>
          <w:szCs w:val="32"/>
        </w:rPr>
      </w:pPr>
      <w:r>
        <w:rPr>
          <w:rFonts w:hint="eastAsia" w:ascii="仿宋" w:hAnsi="仿宋" w:eastAsia="仿宋" w:cs="仿宋"/>
          <w:sz w:val="32"/>
          <w:szCs w:val="32"/>
        </w:rPr>
        <w:t>低碳分指数通过碳排放强度表征能源结构清洁化程度，体现应对气候变化的主动作为。单位GDP二氧化碳排放量是核心指标，该指标对标《巴黎协定》国家自主贡献目标核算基准。</w:t>
      </w:r>
    </w:p>
    <w:p>
      <w:pPr>
        <w:spacing w:line="360" w:lineRule="auto"/>
        <w:ind w:firstLine="560"/>
        <w:rPr>
          <w:rFonts w:hint="eastAsia" w:ascii="仿宋" w:hAnsi="仿宋" w:eastAsia="仿宋" w:cs="仿宋"/>
          <w:b/>
          <w:bCs/>
          <w:sz w:val="32"/>
          <w:szCs w:val="32"/>
        </w:rPr>
      </w:pPr>
      <w:r>
        <w:rPr>
          <w:rFonts w:hint="eastAsia" w:ascii="仿宋" w:hAnsi="仿宋" w:eastAsia="仿宋" w:cs="仿宋"/>
          <w:b/>
          <w:bCs/>
          <w:sz w:val="32"/>
          <w:szCs w:val="32"/>
          <w:lang w:val="en-US" w:eastAsia="zh-CN"/>
        </w:rPr>
        <w:t>c.</w:t>
      </w:r>
      <w:r>
        <w:rPr>
          <w:rFonts w:hint="eastAsia" w:ascii="仿宋" w:hAnsi="仿宋" w:eastAsia="仿宋" w:cs="仿宋"/>
          <w:b/>
          <w:bCs/>
          <w:sz w:val="32"/>
          <w:szCs w:val="32"/>
        </w:rPr>
        <w:t>环境治理分指数</w:t>
      </w:r>
    </w:p>
    <w:p>
      <w:pPr>
        <w:spacing w:line="360" w:lineRule="auto"/>
        <w:ind w:firstLine="560"/>
        <w:rPr>
          <w:rFonts w:hint="eastAsia" w:ascii="仿宋" w:hAnsi="仿宋" w:eastAsia="仿宋" w:cs="仿宋"/>
          <w:sz w:val="32"/>
          <w:szCs w:val="32"/>
        </w:rPr>
      </w:pPr>
      <w:r>
        <w:rPr>
          <w:rFonts w:hint="eastAsia" w:ascii="仿宋" w:hAnsi="仿宋" w:eastAsia="仿宋" w:cs="仿宋"/>
          <w:sz w:val="32"/>
          <w:szCs w:val="32"/>
        </w:rPr>
        <w:t>环境治理分指数通过污染物去除效率评估污染防治攻坚战成效，体现环境治理体系现代化水平。</w:t>
      </w:r>
    </w:p>
    <w:p>
      <w:pPr>
        <w:spacing w:line="360" w:lineRule="auto"/>
        <w:ind w:firstLine="560"/>
        <w:rPr>
          <w:rFonts w:hint="eastAsia" w:ascii="仿宋" w:hAnsi="仿宋" w:eastAsia="仿宋" w:cs="仿宋"/>
          <w:b/>
          <w:bCs/>
          <w:sz w:val="32"/>
          <w:szCs w:val="32"/>
        </w:rPr>
      </w:pPr>
      <w:r>
        <w:rPr>
          <w:rFonts w:hint="eastAsia" w:ascii="仿宋" w:hAnsi="仿宋" w:eastAsia="仿宋" w:cs="仿宋"/>
          <w:b/>
          <w:bCs/>
          <w:sz w:val="32"/>
          <w:szCs w:val="32"/>
          <w:lang w:val="en-US" w:eastAsia="zh-CN"/>
        </w:rPr>
        <w:t>（二）生态环境质量</w:t>
      </w:r>
      <w:r>
        <w:rPr>
          <w:rFonts w:hint="eastAsia" w:ascii="仿宋" w:hAnsi="仿宋" w:eastAsia="仿宋" w:cs="仿宋"/>
          <w:b/>
          <w:bCs/>
          <w:sz w:val="32"/>
          <w:szCs w:val="32"/>
        </w:rPr>
        <w:t>综合指数计算方法</w:t>
      </w:r>
    </w:p>
    <w:p>
      <w:pPr>
        <w:ind w:firstLine="560"/>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综合指数计算方法</w:t>
      </w:r>
    </w:p>
    <w:p>
      <w:pPr>
        <w:ind w:firstLine="560"/>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评价指标归一化处理</w:t>
      </w:r>
    </w:p>
    <w:p>
      <w:pPr>
        <w:ind w:firstLine="560"/>
        <w:rPr>
          <w:rFonts w:hint="eastAsia" w:ascii="仿宋" w:hAnsi="仿宋" w:eastAsia="仿宋" w:cs="仿宋"/>
          <w:sz w:val="32"/>
          <w:szCs w:val="32"/>
        </w:rPr>
      </w:pPr>
      <w:r>
        <w:rPr>
          <w:rFonts w:hint="eastAsia" w:ascii="仿宋" w:hAnsi="仿宋" w:eastAsia="仿宋" w:cs="仿宋"/>
          <w:sz w:val="32"/>
          <w:szCs w:val="32"/>
        </w:rPr>
        <w:t>将生态环境质量综合指数评价指标体系中三级指标进行正向和负向指标统一进行归一化处理。</w:t>
      </w:r>
    </w:p>
    <w:p>
      <w:pPr>
        <w:ind w:firstLine="560"/>
        <w:rPr>
          <w:rFonts w:hint="eastAsia" w:ascii="仿宋" w:hAnsi="仿宋" w:eastAsia="仿宋" w:cs="仿宋"/>
          <w:sz w:val="32"/>
          <w:szCs w:val="32"/>
        </w:rPr>
      </w:pPr>
      <w:r>
        <w:rPr>
          <w:rFonts w:hint="eastAsia" w:ascii="仿宋" w:hAnsi="仿宋" w:eastAsia="仿宋" w:cs="仿宋"/>
          <w:sz w:val="32"/>
          <w:szCs w:val="32"/>
        </w:rPr>
        <w:t>正向指标归一化处理公式如下：</w:t>
      </w:r>
    </w:p>
    <w:p>
      <w:pPr>
        <w:topLinePunct/>
        <w:adjustRightInd w:val="0"/>
        <w:ind w:firstLine="560"/>
        <w:jc w:val="left"/>
        <w:rPr>
          <w:rFonts w:hint="eastAsia" w:ascii="仿宋" w:hAnsi="仿宋" w:eastAsia="仿宋" w:cs="仿宋"/>
          <w:snapToGrid w:val="0"/>
          <w:kern w:val="21"/>
          <w:sz w:val="32"/>
          <w:szCs w:val="32"/>
        </w:rPr>
      </w:pPr>
      <m:oMath>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Y</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ij</m:t>
            </m:r>
            <m:ctrlPr>
              <w:rPr>
                <w:rFonts w:hint="default" w:ascii="Cambria Math" w:hAnsi="Cambria Math" w:cs="Times New Roman"/>
                <w:i/>
                <w:snapToGrid w:val="0"/>
                <w:kern w:val="21"/>
                <w:szCs w:val="28"/>
              </w:rPr>
            </m:ctrlPr>
          </m:sub>
        </m:sSub>
        <m:r>
          <m:rPr/>
          <w:rPr>
            <w:rFonts w:hint="default" w:ascii="Cambria Math" w:hAnsi="Cambria Math" w:cs="Times New Roman"/>
            <w:snapToGrid w:val="0"/>
            <w:kern w:val="21"/>
            <w:szCs w:val="28"/>
          </w:rPr>
          <m:t>=</m:t>
        </m:r>
        <m:f>
          <m:fPr>
            <m:ctrlPr>
              <w:rPr>
                <w:rFonts w:hint="default" w:ascii="Cambria Math" w:hAnsi="Cambria Math" w:cs="Times New Roman"/>
                <w:i/>
                <w:snapToGrid w:val="0"/>
                <w:kern w:val="21"/>
                <w:szCs w:val="28"/>
              </w:rPr>
            </m:ctrlPr>
          </m:fPr>
          <m:num>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X</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ij</m:t>
                </m:r>
                <m:ctrlPr>
                  <w:rPr>
                    <w:rFonts w:hint="default" w:ascii="Cambria Math" w:hAnsi="Cambria Math" w:cs="Times New Roman"/>
                    <w:i/>
                    <w:snapToGrid w:val="0"/>
                    <w:kern w:val="21"/>
                    <w:szCs w:val="28"/>
                  </w:rPr>
                </m:ctrlPr>
              </m:sub>
            </m:sSub>
            <m:r>
              <m:rPr/>
              <w:rPr>
                <w:rFonts w:hint="default" w:ascii="Cambria Math" w:hAnsi="Cambria Math" w:eastAsia="微软雅黑" w:cs="Times New Roman"/>
                <w:snapToGrid w:val="0"/>
                <w:kern w:val="21"/>
                <w:szCs w:val="28"/>
              </w:rPr>
              <m:t>−</m:t>
            </m:r>
            <m:r>
              <m:rPr>
                <m:sty m:val="p"/>
              </m:rPr>
              <w:rPr>
                <w:rFonts w:hint="default" w:ascii="Cambria Math" w:hAnsi="Cambria Math" w:cs="Times New Roman"/>
                <w:snapToGrid w:val="0"/>
                <w:kern w:val="21"/>
                <w:szCs w:val="28"/>
              </w:rPr>
              <m:t>min⁡</m:t>
            </m:r>
            <m:r>
              <m:rPr/>
              <w:rPr>
                <w:rFonts w:hint="default" w:ascii="Cambria Math" w:hAnsi="Cambria Math" w:cs="Times New Roman"/>
                <w:snapToGrid w:val="0"/>
                <w:kern w:val="21"/>
                <w:szCs w:val="28"/>
              </w:rPr>
              <m:t>(</m:t>
            </m:r>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X</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m:t>
                </m:r>
                <m:ctrlPr>
                  <w:rPr>
                    <w:rFonts w:hint="default" w:ascii="Cambria Math" w:hAnsi="Cambria Math" w:cs="Times New Roman"/>
                    <w:i/>
                    <w:snapToGrid w:val="0"/>
                    <w:kern w:val="21"/>
                    <w:szCs w:val="28"/>
                  </w:rPr>
                </m:ctrlPr>
              </m:sub>
            </m:sSub>
            <m:r>
              <m:rPr/>
              <w:rPr>
                <w:rFonts w:hint="default" w:ascii="Cambria Math" w:hAnsi="Cambria Math" w:cs="Times New Roman"/>
                <w:snapToGrid w:val="0"/>
                <w:kern w:val="21"/>
                <w:szCs w:val="28"/>
              </w:rPr>
              <m:t>)</m:t>
            </m:r>
            <m:ctrlPr>
              <w:rPr>
                <w:rFonts w:hint="default" w:ascii="Cambria Math" w:hAnsi="Cambria Math" w:cs="Times New Roman"/>
                <w:i/>
                <w:snapToGrid w:val="0"/>
                <w:kern w:val="21"/>
                <w:szCs w:val="28"/>
              </w:rPr>
            </m:ctrlPr>
          </m:num>
          <m:den>
            <m:func>
              <m:funcPr>
                <m:ctrlPr>
                  <w:rPr>
                    <w:rFonts w:hint="default" w:ascii="Cambria Math" w:hAnsi="Cambria Math" w:cs="Times New Roman"/>
                    <w:snapToGrid w:val="0"/>
                    <w:kern w:val="21"/>
                    <w:szCs w:val="28"/>
                  </w:rPr>
                </m:ctrlPr>
              </m:funcPr>
              <m:fName>
                <m:r>
                  <m:rPr>
                    <m:sty m:val="p"/>
                  </m:rPr>
                  <w:rPr>
                    <w:rFonts w:hint="default" w:ascii="Cambria Math" w:hAnsi="Cambria Math" w:cs="Times New Roman"/>
                    <w:snapToGrid w:val="0"/>
                    <w:kern w:val="21"/>
                    <w:szCs w:val="28"/>
                  </w:rPr>
                  <m:t>max</m:t>
                </m:r>
                <m:ctrlPr>
                  <w:rPr>
                    <w:rFonts w:hint="default" w:ascii="Cambria Math" w:hAnsi="Cambria Math" w:cs="Times New Roman"/>
                    <w:snapToGrid w:val="0"/>
                    <w:kern w:val="21"/>
                    <w:szCs w:val="28"/>
                  </w:rPr>
                </m:ctrlPr>
              </m:fName>
              <m:e>
                <m:d>
                  <m:dPr>
                    <m:ctrlPr>
                      <w:rPr>
                        <w:rFonts w:hint="default" w:ascii="Cambria Math" w:hAnsi="Cambria Math" w:cs="Times New Roman"/>
                        <w:i/>
                        <w:snapToGrid w:val="0"/>
                        <w:kern w:val="21"/>
                        <w:szCs w:val="28"/>
                      </w:rPr>
                    </m:ctrlPr>
                  </m:dPr>
                  <m:e>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X</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m:t>
                        </m:r>
                        <m:ctrlPr>
                          <w:rPr>
                            <w:rFonts w:hint="default" w:ascii="Cambria Math" w:hAnsi="Cambria Math" w:cs="Times New Roman"/>
                            <w:i/>
                            <w:snapToGrid w:val="0"/>
                            <w:kern w:val="21"/>
                            <w:szCs w:val="28"/>
                          </w:rPr>
                        </m:ctrlPr>
                      </m:sub>
                    </m:sSub>
                    <m:ctrlPr>
                      <w:rPr>
                        <w:rFonts w:hint="default" w:ascii="Cambria Math" w:hAnsi="Cambria Math" w:cs="Times New Roman"/>
                        <w:i/>
                        <w:snapToGrid w:val="0"/>
                        <w:kern w:val="21"/>
                        <w:szCs w:val="28"/>
                      </w:rPr>
                    </m:ctrlPr>
                  </m:e>
                </m:d>
                <m:ctrlPr>
                  <w:rPr>
                    <w:rFonts w:hint="default" w:ascii="Cambria Math" w:hAnsi="Cambria Math" w:cs="Times New Roman"/>
                    <w:snapToGrid w:val="0"/>
                    <w:kern w:val="21"/>
                    <w:szCs w:val="28"/>
                  </w:rPr>
                </m:ctrlPr>
              </m:e>
            </m:func>
            <m:r>
              <m:rPr/>
              <w:rPr>
                <w:rFonts w:hint="default" w:ascii="Cambria Math" w:hAnsi="Cambria Math" w:eastAsia="微软雅黑" w:cs="Times New Roman"/>
                <w:snapToGrid w:val="0"/>
                <w:kern w:val="21"/>
                <w:szCs w:val="28"/>
              </w:rPr>
              <m:t>−</m:t>
            </m:r>
            <m:func>
              <m:funcPr>
                <m:ctrlPr>
                  <w:rPr>
                    <w:rFonts w:hint="default" w:ascii="Cambria Math" w:hAnsi="Cambria Math" w:cs="Times New Roman"/>
                    <w:snapToGrid w:val="0"/>
                    <w:kern w:val="21"/>
                    <w:szCs w:val="28"/>
                  </w:rPr>
                </m:ctrlPr>
              </m:funcPr>
              <m:fName>
                <m:r>
                  <m:rPr>
                    <m:sty m:val="p"/>
                  </m:rPr>
                  <w:rPr>
                    <w:rFonts w:hint="default" w:ascii="Cambria Math" w:hAnsi="Cambria Math" w:cs="Times New Roman"/>
                    <w:snapToGrid w:val="0"/>
                    <w:kern w:val="21"/>
                    <w:szCs w:val="28"/>
                  </w:rPr>
                  <m:t>min</m:t>
                </m:r>
                <m:ctrlPr>
                  <w:rPr>
                    <w:rFonts w:hint="default" w:ascii="Cambria Math" w:hAnsi="Cambria Math" w:cs="Times New Roman"/>
                    <w:i/>
                    <w:snapToGrid w:val="0"/>
                    <w:kern w:val="21"/>
                    <w:szCs w:val="28"/>
                  </w:rPr>
                </m:ctrlPr>
              </m:fName>
              <m:e>
                <m:d>
                  <m:dPr>
                    <m:ctrlPr>
                      <w:rPr>
                        <w:rFonts w:hint="default" w:ascii="Cambria Math" w:hAnsi="Cambria Math" w:cs="Times New Roman"/>
                        <w:i/>
                        <w:snapToGrid w:val="0"/>
                        <w:kern w:val="21"/>
                        <w:szCs w:val="28"/>
                      </w:rPr>
                    </m:ctrlPr>
                  </m:dPr>
                  <m:e>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X</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m:t>
                        </m:r>
                        <m:ctrlPr>
                          <w:rPr>
                            <w:rFonts w:hint="default" w:ascii="Cambria Math" w:hAnsi="Cambria Math" w:cs="Times New Roman"/>
                            <w:i/>
                            <w:snapToGrid w:val="0"/>
                            <w:kern w:val="21"/>
                            <w:szCs w:val="28"/>
                          </w:rPr>
                        </m:ctrlPr>
                      </m:sub>
                    </m:sSub>
                    <m:ctrlPr>
                      <w:rPr>
                        <w:rFonts w:hint="default" w:ascii="Cambria Math" w:hAnsi="Cambria Math" w:cs="Times New Roman"/>
                        <w:i/>
                        <w:snapToGrid w:val="0"/>
                        <w:kern w:val="21"/>
                        <w:szCs w:val="28"/>
                      </w:rPr>
                    </m:ctrlPr>
                  </m:e>
                </m:d>
                <m:ctrlPr>
                  <w:rPr>
                    <w:rFonts w:hint="default" w:ascii="Cambria Math" w:hAnsi="Cambria Math" w:cs="Times New Roman"/>
                    <w:snapToGrid w:val="0"/>
                    <w:kern w:val="21"/>
                    <w:szCs w:val="28"/>
                  </w:rPr>
                </m:ctrlPr>
              </m:e>
            </m:func>
            <m:ctrlPr>
              <w:rPr>
                <w:rFonts w:hint="default" w:ascii="Cambria Math" w:hAnsi="Cambria Math" w:cs="Times New Roman"/>
                <w:i/>
                <w:snapToGrid w:val="0"/>
                <w:kern w:val="21"/>
                <w:szCs w:val="28"/>
              </w:rPr>
            </m:ctrlPr>
          </m:den>
        </m:f>
      </m:oMath>
      <w:r>
        <w:rPr>
          <w:rFonts w:hint="eastAsia" w:ascii="仿宋" w:hAnsi="仿宋" w:eastAsia="仿宋" w:cs="仿宋"/>
          <w:snapToGrid w:val="0"/>
          <w:kern w:val="21"/>
          <w:sz w:val="32"/>
          <w:szCs w:val="32"/>
        </w:rPr>
        <w:t>（</w:t>
      </w:r>
      <w:r>
        <w:rPr>
          <w:rFonts w:hint="eastAsia" w:ascii="仿宋" w:hAnsi="仿宋" w:eastAsia="仿宋" w:cs="仿宋"/>
          <w:snapToGrid w:val="0"/>
          <w:kern w:val="21"/>
          <w:sz w:val="32"/>
          <w:szCs w:val="32"/>
          <w:lang w:val="en-US" w:eastAsia="zh-CN"/>
        </w:rPr>
        <w:t>6</w:t>
      </w:r>
      <w:r>
        <w:rPr>
          <w:rFonts w:hint="eastAsia" w:ascii="仿宋" w:hAnsi="仿宋" w:eastAsia="仿宋" w:cs="仿宋"/>
          <w:snapToGrid w:val="0"/>
          <w:kern w:val="21"/>
          <w:sz w:val="32"/>
          <w:szCs w:val="32"/>
        </w:rPr>
        <w:t>.1）</w:t>
      </w:r>
    </w:p>
    <w:p>
      <w:pPr>
        <w:ind w:firstLine="560"/>
        <w:rPr>
          <w:rFonts w:hint="eastAsia" w:ascii="仿宋" w:hAnsi="仿宋" w:eastAsia="仿宋" w:cs="仿宋"/>
          <w:sz w:val="32"/>
          <w:szCs w:val="32"/>
        </w:rPr>
      </w:pPr>
      <w:r>
        <w:rPr>
          <w:rFonts w:hint="eastAsia" w:ascii="仿宋" w:hAnsi="仿宋" w:eastAsia="仿宋" w:cs="仿宋"/>
          <w:sz w:val="32"/>
          <w:szCs w:val="32"/>
        </w:rPr>
        <w:t>负向指标归一化处理公式如下：</w:t>
      </w:r>
    </w:p>
    <w:p>
      <w:pPr>
        <w:topLinePunct/>
        <w:adjustRightInd w:val="0"/>
        <w:ind w:firstLine="560"/>
        <w:jc w:val="left"/>
        <w:rPr>
          <w:rFonts w:hint="eastAsia" w:ascii="仿宋" w:hAnsi="仿宋" w:eastAsia="仿宋" w:cs="仿宋"/>
          <w:snapToGrid w:val="0"/>
          <w:kern w:val="21"/>
          <w:sz w:val="32"/>
          <w:szCs w:val="32"/>
        </w:rPr>
      </w:pPr>
      <m:oMath>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Y</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ij</m:t>
            </m:r>
            <m:ctrlPr>
              <w:rPr>
                <w:rFonts w:hint="default" w:ascii="Cambria Math" w:hAnsi="Cambria Math" w:cs="Times New Roman"/>
                <w:i/>
                <w:snapToGrid w:val="0"/>
                <w:kern w:val="21"/>
                <w:szCs w:val="28"/>
              </w:rPr>
            </m:ctrlPr>
          </m:sub>
        </m:sSub>
        <m:r>
          <m:rPr/>
          <w:rPr>
            <w:rFonts w:hint="default" w:ascii="Cambria Math" w:hAnsi="Cambria Math" w:cs="Times New Roman"/>
            <w:snapToGrid w:val="0"/>
            <w:kern w:val="21"/>
            <w:szCs w:val="28"/>
          </w:rPr>
          <m:t>=</m:t>
        </m:r>
        <m:f>
          <m:fPr>
            <m:ctrlPr>
              <w:rPr>
                <w:rFonts w:hint="default" w:ascii="Cambria Math" w:hAnsi="Cambria Math" w:cs="Times New Roman"/>
                <w:i/>
                <w:snapToGrid w:val="0"/>
                <w:kern w:val="21"/>
                <w:szCs w:val="28"/>
              </w:rPr>
            </m:ctrlPr>
          </m:fPr>
          <m:num>
            <m:func>
              <m:funcPr>
                <m:ctrlPr>
                  <w:rPr>
                    <w:rFonts w:hint="default" w:ascii="Cambria Math" w:hAnsi="Cambria Math" w:cs="Times New Roman"/>
                    <w:snapToGrid w:val="0"/>
                    <w:kern w:val="21"/>
                    <w:szCs w:val="28"/>
                  </w:rPr>
                </m:ctrlPr>
              </m:funcPr>
              <m:fName>
                <m:r>
                  <m:rPr>
                    <m:sty m:val="p"/>
                  </m:rPr>
                  <w:rPr>
                    <w:rFonts w:hint="default" w:ascii="Cambria Math" w:hAnsi="Cambria Math" w:cs="Times New Roman"/>
                    <w:snapToGrid w:val="0"/>
                    <w:kern w:val="21"/>
                    <w:szCs w:val="28"/>
                  </w:rPr>
                  <m:t>max</m:t>
                </m:r>
                <m:ctrlPr>
                  <w:rPr>
                    <w:rFonts w:hint="default" w:ascii="Cambria Math" w:hAnsi="Cambria Math" w:cs="Times New Roman"/>
                    <w:snapToGrid w:val="0"/>
                    <w:kern w:val="21"/>
                    <w:szCs w:val="28"/>
                  </w:rPr>
                </m:ctrlPr>
              </m:fName>
              <m:e>
                <m:d>
                  <m:dPr>
                    <m:ctrlPr>
                      <w:rPr>
                        <w:rFonts w:hint="default" w:ascii="Cambria Math" w:hAnsi="Cambria Math" w:cs="Times New Roman"/>
                        <w:i/>
                        <w:snapToGrid w:val="0"/>
                        <w:kern w:val="21"/>
                        <w:szCs w:val="28"/>
                      </w:rPr>
                    </m:ctrlPr>
                  </m:dPr>
                  <m:e>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X</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m:t>
                        </m:r>
                        <m:ctrlPr>
                          <w:rPr>
                            <w:rFonts w:hint="default" w:ascii="Cambria Math" w:hAnsi="Cambria Math" w:cs="Times New Roman"/>
                            <w:i/>
                            <w:snapToGrid w:val="0"/>
                            <w:kern w:val="21"/>
                            <w:szCs w:val="28"/>
                          </w:rPr>
                        </m:ctrlPr>
                      </m:sub>
                    </m:sSub>
                    <m:ctrlPr>
                      <w:rPr>
                        <w:rFonts w:hint="default" w:ascii="Cambria Math" w:hAnsi="Cambria Math" w:cs="Times New Roman"/>
                        <w:i/>
                        <w:snapToGrid w:val="0"/>
                        <w:kern w:val="21"/>
                        <w:szCs w:val="28"/>
                      </w:rPr>
                    </m:ctrlPr>
                  </m:e>
                </m:d>
                <m:ctrlPr>
                  <w:rPr>
                    <w:rFonts w:hint="default" w:ascii="Cambria Math" w:hAnsi="Cambria Math" w:cs="Times New Roman"/>
                    <w:snapToGrid w:val="0"/>
                    <w:kern w:val="21"/>
                    <w:szCs w:val="28"/>
                  </w:rPr>
                </m:ctrlPr>
              </m:e>
            </m:func>
            <m:r>
              <m:rPr/>
              <w:rPr>
                <w:rFonts w:hint="default" w:ascii="Cambria Math" w:hAnsi="Cambria Math" w:eastAsia="微软雅黑" w:cs="Times New Roman"/>
                <w:snapToGrid w:val="0"/>
                <w:kern w:val="21"/>
                <w:szCs w:val="28"/>
              </w:rPr>
              <m:t>−</m:t>
            </m:r>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X</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ij</m:t>
                </m:r>
                <m:ctrlPr>
                  <w:rPr>
                    <w:rFonts w:hint="default" w:ascii="Cambria Math" w:hAnsi="Cambria Math" w:cs="Times New Roman"/>
                    <w:i/>
                    <w:snapToGrid w:val="0"/>
                    <w:kern w:val="21"/>
                    <w:szCs w:val="28"/>
                  </w:rPr>
                </m:ctrlPr>
              </m:sub>
            </m:sSub>
            <m:ctrlPr>
              <w:rPr>
                <w:rFonts w:hint="default" w:ascii="Cambria Math" w:hAnsi="Cambria Math" w:cs="Times New Roman"/>
                <w:i/>
                <w:snapToGrid w:val="0"/>
                <w:kern w:val="21"/>
                <w:szCs w:val="28"/>
              </w:rPr>
            </m:ctrlPr>
          </m:num>
          <m:den>
            <m:func>
              <m:funcPr>
                <m:ctrlPr>
                  <w:rPr>
                    <w:rFonts w:hint="default" w:ascii="Cambria Math" w:hAnsi="Cambria Math" w:cs="Times New Roman"/>
                    <w:snapToGrid w:val="0"/>
                    <w:kern w:val="21"/>
                    <w:szCs w:val="28"/>
                  </w:rPr>
                </m:ctrlPr>
              </m:funcPr>
              <m:fName>
                <m:r>
                  <m:rPr>
                    <m:sty m:val="p"/>
                  </m:rPr>
                  <w:rPr>
                    <w:rFonts w:hint="default" w:ascii="Cambria Math" w:hAnsi="Cambria Math" w:cs="Times New Roman"/>
                    <w:snapToGrid w:val="0"/>
                    <w:kern w:val="21"/>
                    <w:szCs w:val="28"/>
                  </w:rPr>
                  <m:t>max</m:t>
                </m:r>
                <m:ctrlPr>
                  <w:rPr>
                    <w:rFonts w:hint="default" w:ascii="Cambria Math" w:hAnsi="Cambria Math" w:cs="Times New Roman"/>
                    <w:snapToGrid w:val="0"/>
                    <w:kern w:val="21"/>
                    <w:szCs w:val="28"/>
                  </w:rPr>
                </m:ctrlPr>
              </m:fName>
              <m:e>
                <m:d>
                  <m:dPr>
                    <m:ctrlPr>
                      <w:rPr>
                        <w:rFonts w:hint="default" w:ascii="Cambria Math" w:hAnsi="Cambria Math" w:cs="Times New Roman"/>
                        <w:i/>
                        <w:snapToGrid w:val="0"/>
                        <w:kern w:val="21"/>
                        <w:szCs w:val="28"/>
                      </w:rPr>
                    </m:ctrlPr>
                  </m:dPr>
                  <m:e>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X</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m:t>
                        </m:r>
                        <m:ctrlPr>
                          <w:rPr>
                            <w:rFonts w:hint="default" w:ascii="Cambria Math" w:hAnsi="Cambria Math" w:cs="Times New Roman"/>
                            <w:i/>
                            <w:snapToGrid w:val="0"/>
                            <w:kern w:val="21"/>
                            <w:szCs w:val="28"/>
                          </w:rPr>
                        </m:ctrlPr>
                      </m:sub>
                    </m:sSub>
                    <m:ctrlPr>
                      <w:rPr>
                        <w:rFonts w:hint="default" w:ascii="Cambria Math" w:hAnsi="Cambria Math" w:cs="Times New Roman"/>
                        <w:i/>
                        <w:snapToGrid w:val="0"/>
                        <w:kern w:val="21"/>
                        <w:szCs w:val="28"/>
                      </w:rPr>
                    </m:ctrlPr>
                  </m:e>
                </m:d>
                <m:ctrlPr>
                  <w:rPr>
                    <w:rFonts w:hint="default" w:ascii="Cambria Math" w:hAnsi="Cambria Math" w:cs="Times New Roman"/>
                    <w:snapToGrid w:val="0"/>
                    <w:kern w:val="21"/>
                    <w:szCs w:val="28"/>
                  </w:rPr>
                </m:ctrlPr>
              </m:e>
            </m:func>
            <m:r>
              <m:rPr/>
              <w:rPr>
                <w:rFonts w:hint="default" w:ascii="Cambria Math" w:hAnsi="Cambria Math" w:eastAsia="微软雅黑" w:cs="Times New Roman"/>
                <w:snapToGrid w:val="0"/>
                <w:kern w:val="21"/>
                <w:szCs w:val="28"/>
              </w:rPr>
              <m:t>−</m:t>
            </m:r>
            <m:r>
              <m:rPr>
                <m:sty m:val="p"/>
              </m:rPr>
              <w:rPr>
                <w:rFonts w:hint="default" w:ascii="Cambria Math" w:hAnsi="Cambria Math" w:cs="Times New Roman"/>
                <w:snapToGrid w:val="0"/>
                <w:kern w:val="21"/>
                <w:szCs w:val="28"/>
              </w:rPr>
              <m:t>min⁡</m:t>
            </m:r>
            <m:r>
              <m:rPr/>
              <w:rPr>
                <w:rFonts w:hint="default" w:ascii="Cambria Math" w:hAnsi="Cambria Math" w:cs="Times New Roman"/>
                <w:snapToGrid w:val="0"/>
                <w:kern w:val="21"/>
                <w:szCs w:val="28"/>
              </w:rPr>
              <m:t>(</m:t>
            </m:r>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X</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m:t>
                </m:r>
                <m:ctrlPr>
                  <w:rPr>
                    <w:rFonts w:hint="default" w:ascii="Cambria Math" w:hAnsi="Cambria Math" w:cs="Times New Roman"/>
                    <w:i/>
                    <w:snapToGrid w:val="0"/>
                    <w:kern w:val="21"/>
                    <w:szCs w:val="28"/>
                  </w:rPr>
                </m:ctrlPr>
              </m:sub>
            </m:sSub>
            <m:r>
              <m:rPr/>
              <w:rPr>
                <w:rFonts w:hint="default" w:ascii="Cambria Math" w:hAnsi="Cambria Math" w:cs="Times New Roman"/>
                <w:snapToGrid w:val="0"/>
                <w:kern w:val="21"/>
                <w:szCs w:val="28"/>
              </w:rPr>
              <m:t>)</m:t>
            </m:r>
            <m:ctrlPr>
              <w:rPr>
                <w:rFonts w:hint="default" w:ascii="Cambria Math" w:hAnsi="Cambria Math" w:cs="Times New Roman"/>
                <w:i/>
                <w:snapToGrid w:val="0"/>
                <w:kern w:val="21"/>
                <w:szCs w:val="28"/>
              </w:rPr>
            </m:ctrlPr>
          </m:den>
        </m:f>
      </m:oMath>
      <w:r>
        <w:rPr>
          <w:rFonts w:hint="eastAsia" w:ascii="仿宋" w:hAnsi="仿宋" w:eastAsia="仿宋" w:cs="仿宋"/>
          <w:snapToGrid w:val="0"/>
          <w:kern w:val="21"/>
          <w:sz w:val="32"/>
          <w:szCs w:val="32"/>
        </w:rPr>
        <w:t>（</w:t>
      </w:r>
      <w:r>
        <w:rPr>
          <w:rFonts w:hint="eastAsia" w:ascii="仿宋" w:hAnsi="仿宋" w:eastAsia="仿宋" w:cs="仿宋"/>
          <w:snapToGrid w:val="0"/>
          <w:kern w:val="21"/>
          <w:sz w:val="32"/>
          <w:szCs w:val="32"/>
          <w:lang w:val="en-US" w:eastAsia="zh-CN"/>
        </w:rPr>
        <w:t>6</w:t>
      </w:r>
      <w:r>
        <w:rPr>
          <w:rFonts w:hint="eastAsia" w:ascii="仿宋" w:hAnsi="仿宋" w:eastAsia="仿宋" w:cs="仿宋"/>
          <w:snapToGrid w:val="0"/>
          <w:kern w:val="21"/>
          <w:sz w:val="32"/>
          <w:szCs w:val="32"/>
        </w:rPr>
        <w:t>.2）</w:t>
      </w:r>
    </w:p>
    <w:p>
      <w:pPr>
        <w:topLinePunct/>
        <w:adjustRightInd w:val="0"/>
        <w:ind w:firstLine="560"/>
        <w:rPr>
          <w:rFonts w:hint="eastAsia" w:ascii="仿宋" w:hAnsi="仿宋" w:eastAsia="仿宋" w:cs="仿宋"/>
          <w:snapToGrid w:val="0"/>
          <w:kern w:val="21"/>
          <w:sz w:val="32"/>
          <w:szCs w:val="32"/>
        </w:rPr>
      </w:pPr>
      <w:r>
        <w:rPr>
          <w:rFonts w:hint="eastAsia" w:ascii="仿宋" w:hAnsi="仿宋" w:eastAsia="仿宋" w:cs="仿宋"/>
          <w:snapToGrid w:val="0"/>
          <w:kern w:val="21"/>
          <w:sz w:val="32"/>
          <w:szCs w:val="32"/>
        </w:rPr>
        <w:t>式中，</w:t>
      </w:r>
      <w:r>
        <w:rPr>
          <w:rFonts w:hint="eastAsia" w:ascii="仿宋" w:hAnsi="仿宋" w:eastAsia="仿宋" w:cs="仿宋"/>
          <w:i/>
          <w:snapToGrid w:val="0"/>
          <w:kern w:val="21"/>
          <w:sz w:val="32"/>
          <w:szCs w:val="32"/>
        </w:rPr>
        <w:t>X</w:t>
      </w:r>
      <w:r>
        <w:rPr>
          <w:rFonts w:hint="eastAsia" w:ascii="仿宋" w:hAnsi="仿宋" w:eastAsia="仿宋" w:cs="仿宋"/>
          <w:i/>
          <w:snapToGrid w:val="0"/>
          <w:kern w:val="21"/>
          <w:sz w:val="32"/>
          <w:szCs w:val="32"/>
          <w:vertAlign w:val="subscript"/>
        </w:rPr>
        <w:t>ij</w:t>
      </w:r>
      <w:r>
        <w:rPr>
          <w:rFonts w:hint="eastAsia" w:ascii="仿宋" w:hAnsi="仿宋" w:eastAsia="仿宋" w:cs="仿宋"/>
          <w:snapToGrid w:val="0"/>
          <w:kern w:val="21"/>
          <w:sz w:val="32"/>
          <w:szCs w:val="32"/>
        </w:rPr>
        <w:t>代表第</w:t>
      </w:r>
      <w:r>
        <w:rPr>
          <w:rFonts w:hint="eastAsia" w:ascii="仿宋" w:hAnsi="仿宋" w:eastAsia="仿宋" w:cs="仿宋"/>
          <w:i/>
          <w:snapToGrid w:val="0"/>
          <w:kern w:val="21"/>
          <w:sz w:val="32"/>
          <w:szCs w:val="32"/>
        </w:rPr>
        <w:t>i</w:t>
      </w:r>
      <w:r>
        <w:rPr>
          <w:rFonts w:hint="eastAsia" w:ascii="仿宋" w:hAnsi="仿宋" w:eastAsia="仿宋" w:cs="仿宋"/>
          <w:snapToGrid w:val="0"/>
          <w:kern w:val="21"/>
          <w:sz w:val="32"/>
          <w:szCs w:val="32"/>
        </w:rPr>
        <w:t>个二级指标的第</w:t>
      </w:r>
      <w:r>
        <w:rPr>
          <w:rFonts w:hint="eastAsia" w:ascii="仿宋" w:hAnsi="仿宋" w:eastAsia="仿宋" w:cs="仿宋"/>
          <w:i/>
          <w:iCs/>
          <w:snapToGrid w:val="0"/>
          <w:kern w:val="21"/>
          <w:sz w:val="32"/>
          <w:szCs w:val="32"/>
        </w:rPr>
        <w:t>j</w:t>
      </w:r>
      <w:r>
        <w:rPr>
          <w:rFonts w:hint="eastAsia" w:ascii="仿宋" w:hAnsi="仿宋" w:eastAsia="仿宋" w:cs="仿宋"/>
          <w:snapToGrid w:val="0"/>
          <w:kern w:val="21"/>
          <w:sz w:val="32"/>
          <w:szCs w:val="32"/>
        </w:rPr>
        <w:t>个三级指标值</w:t>
      </w:r>
      <w:r>
        <w:rPr>
          <w:rFonts w:hint="eastAsia" w:ascii="仿宋" w:hAnsi="仿宋" w:eastAsia="仿宋" w:cs="仿宋"/>
          <w:snapToGrid w:val="0"/>
          <w:kern w:val="21"/>
          <w:sz w:val="32"/>
          <w:szCs w:val="32"/>
        </w:rPr>
        <w:fldChar w:fldCharType="begin"/>
      </w:r>
      <w:r>
        <w:rPr>
          <w:rFonts w:hint="eastAsia" w:ascii="仿宋" w:hAnsi="仿宋" w:eastAsia="仿宋" w:cs="仿宋"/>
          <w:snapToGrid w:val="0"/>
          <w:kern w:val="21"/>
          <w:sz w:val="32"/>
          <w:szCs w:val="32"/>
        </w:rPr>
        <w:instrText xml:space="preserve"> QUOTE </w:instrText>
      </w:r>
      <w:r>
        <w:rPr>
          <w:rFonts w:hint="eastAsia" w:ascii="仿宋" w:hAnsi="仿宋" w:eastAsia="仿宋" w:cs="仿宋"/>
          <w:kern w:val="21"/>
          <w:sz w:val="32"/>
          <w:szCs w:val="32"/>
        </w:rPr>
        <w:instrText xml:space="preserve">X1,X2,…Xn</w:instrText>
      </w:r>
      <w:r>
        <w:rPr>
          <w:rFonts w:hint="eastAsia" w:ascii="仿宋" w:hAnsi="仿宋" w:eastAsia="仿宋" w:cs="仿宋"/>
          <w:snapToGrid w:val="0"/>
          <w:kern w:val="21"/>
          <w:sz w:val="32"/>
          <w:szCs w:val="32"/>
        </w:rPr>
        <w:instrText xml:space="preserve"> </w:instrText>
      </w:r>
      <w:r>
        <w:rPr>
          <w:rFonts w:hint="eastAsia" w:ascii="仿宋" w:hAnsi="仿宋" w:eastAsia="仿宋" w:cs="仿宋"/>
          <w:snapToGrid w:val="0"/>
          <w:kern w:val="21"/>
          <w:sz w:val="32"/>
          <w:szCs w:val="32"/>
        </w:rPr>
        <w:fldChar w:fldCharType="end"/>
      </w:r>
      <w:r>
        <w:rPr>
          <w:rFonts w:hint="eastAsia" w:ascii="仿宋" w:hAnsi="仿宋" w:eastAsia="仿宋" w:cs="仿宋"/>
          <w:snapToGrid w:val="0"/>
          <w:kern w:val="21"/>
          <w:sz w:val="32"/>
          <w:szCs w:val="32"/>
        </w:rPr>
        <w:t>，</w:t>
      </w:r>
      <w:r>
        <w:rPr>
          <w:rFonts w:hint="eastAsia" w:ascii="仿宋" w:hAnsi="仿宋" w:eastAsia="仿宋" w:cs="仿宋"/>
          <w:i/>
          <w:snapToGrid w:val="0"/>
          <w:kern w:val="21"/>
          <w:sz w:val="32"/>
          <w:szCs w:val="32"/>
        </w:rPr>
        <w:t>Y</w:t>
      </w:r>
      <w:r>
        <w:rPr>
          <w:rFonts w:hint="eastAsia" w:ascii="仿宋" w:hAnsi="仿宋" w:eastAsia="仿宋" w:cs="仿宋"/>
          <w:i/>
          <w:snapToGrid w:val="0"/>
          <w:kern w:val="21"/>
          <w:sz w:val="32"/>
          <w:szCs w:val="32"/>
          <w:vertAlign w:val="subscript"/>
        </w:rPr>
        <w:t>ij</w:t>
      </w:r>
      <w:r>
        <w:rPr>
          <w:rFonts w:hint="eastAsia" w:ascii="仿宋" w:hAnsi="仿宋" w:eastAsia="仿宋" w:cs="仿宋"/>
          <w:iCs/>
          <w:snapToGrid w:val="0"/>
          <w:kern w:val="21"/>
          <w:sz w:val="32"/>
          <w:szCs w:val="32"/>
        </w:rPr>
        <w:t>代表</w:t>
      </w:r>
      <w:r>
        <w:rPr>
          <w:rFonts w:hint="eastAsia" w:ascii="仿宋" w:hAnsi="仿宋" w:eastAsia="仿宋" w:cs="仿宋"/>
          <w:snapToGrid w:val="0"/>
          <w:kern w:val="21"/>
          <w:sz w:val="32"/>
          <w:szCs w:val="32"/>
        </w:rPr>
        <w:t>归一化之后第</w:t>
      </w:r>
      <w:r>
        <w:rPr>
          <w:rFonts w:hint="eastAsia" w:ascii="仿宋" w:hAnsi="仿宋" w:eastAsia="仿宋" w:cs="仿宋"/>
          <w:i/>
          <w:snapToGrid w:val="0"/>
          <w:kern w:val="21"/>
          <w:sz w:val="32"/>
          <w:szCs w:val="32"/>
        </w:rPr>
        <w:t>i</w:t>
      </w:r>
      <w:r>
        <w:rPr>
          <w:rFonts w:hint="eastAsia" w:ascii="仿宋" w:hAnsi="仿宋" w:eastAsia="仿宋" w:cs="仿宋"/>
          <w:snapToGrid w:val="0"/>
          <w:kern w:val="21"/>
          <w:sz w:val="32"/>
          <w:szCs w:val="32"/>
        </w:rPr>
        <w:t>个二级指标的第</w:t>
      </w:r>
      <w:r>
        <w:rPr>
          <w:rFonts w:hint="eastAsia" w:ascii="仿宋" w:hAnsi="仿宋" w:eastAsia="仿宋" w:cs="仿宋"/>
          <w:i/>
          <w:iCs/>
          <w:snapToGrid w:val="0"/>
          <w:kern w:val="21"/>
          <w:sz w:val="32"/>
          <w:szCs w:val="32"/>
        </w:rPr>
        <w:t>j</w:t>
      </w:r>
      <w:r>
        <w:rPr>
          <w:rFonts w:hint="eastAsia" w:ascii="仿宋" w:hAnsi="仿宋" w:eastAsia="仿宋" w:cs="仿宋"/>
          <w:snapToGrid w:val="0"/>
          <w:kern w:val="21"/>
          <w:sz w:val="32"/>
          <w:szCs w:val="32"/>
        </w:rPr>
        <w:t>个三级指标值。</w:t>
      </w:r>
    </w:p>
    <w:p>
      <w:pPr>
        <w:ind w:firstLine="560"/>
        <w:rPr>
          <w:rFonts w:hint="eastAsia" w:ascii="仿宋" w:hAnsi="仿宋" w:eastAsia="仿宋" w:cs="仿宋"/>
          <w:b/>
          <w:bCs/>
          <w:sz w:val="32"/>
          <w:szCs w:val="32"/>
        </w:rPr>
      </w:pPr>
      <w:r>
        <w:rPr>
          <w:rFonts w:hint="eastAsia" w:ascii="仿宋" w:hAnsi="仿宋" w:eastAsia="仿宋" w:cs="仿宋"/>
          <w:b/>
          <w:bCs/>
          <w:sz w:val="32"/>
          <w:szCs w:val="32"/>
          <w:lang w:val="en-US" w:eastAsia="zh-CN"/>
        </w:rPr>
        <w:t>（</w:t>
      </w: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评价指标权重计算</w:t>
      </w:r>
    </w:p>
    <w:p>
      <w:pPr>
        <w:topLinePunct/>
        <w:adjustRightInd w:val="0"/>
        <w:ind w:firstLine="560"/>
        <w:rPr>
          <w:rFonts w:hint="eastAsia" w:ascii="仿宋" w:hAnsi="仿宋" w:eastAsia="仿宋" w:cs="仿宋"/>
          <w:kern w:val="21"/>
          <w:sz w:val="32"/>
          <w:szCs w:val="32"/>
        </w:rPr>
      </w:pPr>
      <w:r>
        <w:rPr>
          <w:rFonts w:hint="eastAsia" w:ascii="仿宋" w:hAnsi="仿宋" w:eastAsia="仿宋" w:cs="仿宋"/>
          <w:kern w:val="21"/>
          <w:sz w:val="32"/>
          <w:szCs w:val="32"/>
        </w:rPr>
        <w:t>本评价采用熵权法确定三级权重，采用信息量权重法确定二级指标的权重，并通过专家评分法修正指标权重。</w:t>
      </w:r>
    </w:p>
    <w:p>
      <w:pPr>
        <w:topLinePunct/>
        <w:adjustRightInd w:val="0"/>
        <w:ind w:firstLine="560"/>
        <w:rPr>
          <w:rFonts w:hint="eastAsia" w:ascii="仿宋" w:hAnsi="仿宋" w:eastAsia="仿宋" w:cs="仿宋"/>
          <w:b/>
          <w:bCs/>
          <w:kern w:val="21"/>
          <w:sz w:val="32"/>
          <w:szCs w:val="32"/>
        </w:rPr>
      </w:pPr>
      <w:r>
        <w:rPr>
          <w:rFonts w:hint="eastAsia" w:ascii="仿宋" w:hAnsi="仿宋" w:eastAsia="仿宋" w:cs="仿宋"/>
          <w:b/>
          <w:bCs/>
          <w:kern w:val="21"/>
          <w:sz w:val="32"/>
          <w:szCs w:val="32"/>
          <w:lang w:val="en-US" w:eastAsia="zh-CN"/>
        </w:rPr>
        <w:t>a.</w:t>
      </w:r>
      <w:r>
        <w:rPr>
          <w:rFonts w:hint="eastAsia" w:ascii="仿宋" w:hAnsi="仿宋" w:eastAsia="仿宋" w:cs="仿宋"/>
          <w:b/>
          <w:bCs/>
          <w:kern w:val="21"/>
          <w:sz w:val="32"/>
          <w:szCs w:val="32"/>
        </w:rPr>
        <w:t>熵权法</w:t>
      </w:r>
    </w:p>
    <w:p>
      <w:pPr>
        <w:topLinePunct/>
        <w:adjustRightInd w:val="0"/>
        <w:ind w:firstLine="560"/>
        <w:rPr>
          <w:rFonts w:hint="eastAsia" w:ascii="仿宋" w:hAnsi="仿宋" w:eastAsia="仿宋" w:cs="仿宋"/>
          <w:kern w:val="21"/>
          <w:sz w:val="32"/>
          <w:szCs w:val="32"/>
        </w:rPr>
      </w:pPr>
      <w:r>
        <w:rPr>
          <w:rFonts w:hint="eastAsia" w:ascii="仿宋" w:hAnsi="仿宋" w:eastAsia="仿宋" w:cs="仿宋"/>
          <w:kern w:val="21"/>
          <w:sz w:val="32"/>
          <w:szCs w:val="32"/>
        </w:rPr>
        <w:t>熵权法的基本思路就是根据变异性的大小。若某个指标信息熵越小，表明指标值的变异程度越大，提供的信息量越多，在综合评价中所能起到的作用也就越大，其权重也就越大；相反，某个指标信息熵越大，表明指标值的变异程度越小，提供的信息量越少，在综合评价中所能起到的作用越小，相应的权重也就越小。运用熵权法计算客观权重的具体方法为：</w:t>
      </w:r>
    </w:p>
    <w:p>
      <w:pPr>
        <w:topLinePunct/>
        <w:adjustRightInd w:val="0"/>
        <w:ind w:firstLine="560"/>
        <w:rPr>
          <w:rFonts w:hint="eastAsia" w:ascii="仿宋" w:hAnsi="仿宋" w:eastAsia="仿宋" w:cs="仿宋"/>
          <w:kern w:val="21"/>
          <w:sz w:val="32"/>
          <w:szCs w:val="32"/>
        </w:rPr>
      </w:pPr>
      <w:r>
        <w:rPr>
          <w:rFonts w:hint="eastAsia" w:ascii="仿宋" w:hAnsi="仿宋" w:eastAsia="仿宋" w:cs="仿宋"/>
          <w:kern w:val="21"/>
          <w:sz w:val="32"/>
          <w:szCs w:val="32"/>
        </w:rPr>
        <w:t>①计算第</w:t>
      </w:r>
      <w:r>
        <w:rPr>
          <w:rFonts w:hint="eastAsia" w:ascii="仿宋" w:hAnsi="仿宋" w:eastAsia="仿宋" w:cs="仿宋"/>
          <w:i/>
          <w:iCs/>
          <w:kern w:val="21"/>
          <w:sz w:val="32"/>
          <w:szCs w:val="32"/>
        </w:rPr>
        <w:t>j</w:t>
      </w:r>
      <w:r>
        <w:rPr>
          <w:rFonts w:hint="eastAsia" w:ascii="仿宋" w:hAnsi="仿宋" w:eastAsia="仿宋" w:cs="仿宋"/>
          <w:kern w:val="21"/>
          <w:sz w:val="32"/>
          <w:szCs w:val="32"/>
        </w:rPr>
        <w:t>项具体指标的信息熵，</w:t>
      </w:r>
    </w:p>
    <w:p>
      <w:pPr>
        <w:pStyle w:val="20"/>
        <w:topLinePunct/>
        <w:adjustRightInd w:val="0"/>
        <w:ind w:left="1305" w:firstLine="0" w:firstLineChars="0"/>
        <w:jc w:val="left"/>
        <w:rPr>
          <w:rFonts w:hint="eastAsia" w:ascii="仿宋" w:hAnsi="仿宋" w:eastAsia="仿宋" w:cs="仿宋"/>
          <w:kern w:val="21"/>
          <w:sz w:val="32"/>
          <w:szCs w:val="32"/>
        </w:rPr>
      </w:pPr>
      <m:oMath>
        <m:sSub>
          <m:sSubPr>
            <m:ctrlPr>
              <w:rPr>
                <w:rFonts w:hint="default" w:ascii="Cambria Math" w:hAnsi="Cambria Math" w:cs="Times New Roman"/>
                <w:i/>
                <w:kern w:val="21"/>
                <w:szCs w:val="28"/>
              </w:rPr>
            </m:ctrlPr>
          </m:sSubPr>
          <m:e>
            <m:r>
              <m:rPr/>
              <w:rPr>
                <w:rFonts w:hint="default" w:ascii="Cambria Math" w:hAnsi="Cambria Math" w:cs="Times New Roman"/>
                <w:kern w:val="21"/>
                <w:szCs w:val="28"/>
              </w:rPr>
              <m:t>E</m:t>
            </m:r>
            <m:ctrlPr>
              <w:rPr>
                <w:rFonts w:hint="default" w:ascii="Cambria Math" w:hAnsi="Cambria Math" w:cs="Times New Roman"/>
                <w:i/>
                <w:kern w:val="21"/>
                <w:szCs w:val="28"/>
              </w:rPr>
            </m:ctrlPr>
          </m:e>
          <m:sub>
            <m:r>
              <m:rPr/>
              <w:rPr>
                <w:rFonts w:hint="default" w:ascii="Cambria Math" w:hAnsi="Cambria Math" w:cs="Times New Roman"/>
                <w:kern w:val="21"/>
                <w:szCs w:val="28"/>
              </w:rPr>
              <m:t>j</m:t>
            </m:r>
            <m:ctrlPr>
              <w:rPr>
                <w:rFonts w:hint="default" w:ascii="Cambria Math" w:hAnsi="Cambria Math" w:cs="Times New Roman"/>
                <w:i/>
                <w:kern w:val="21"/>
                <w:szCs w:val="28"/>
              </w:rPr>
            </m:ctrlPr>
          </m:sub>
        </m:sSub>
        <m:r>
          <m:rPr/>
          <w:rPr>
            <w:rFonts w:hint="default" w:ascii="Cambria Math" w:hAnsi="Cambria Math" w:cs="Times New Roman"/>
            <w:kern w:val="21"/>
            <w:szCs w:val="28"/>
          </w:rPr>
          <m:t>=</m:t>
        </m:r>
        <m:r>
          <m:rPr/>
          <w:rPr>
            <w:rFonts w:hint="default" w:ascii="Cambria Math" w:hAnsi="Cambria Math" w:eastAsia="微软雅黑" w:cs="Times New Roman"/>
            <w:kern w:val="21"/>
            <w:szCs w:val="28"/>
          </w:rPr>
          <m:t>−</m:t>
        </m:r>
        <m:r>
          <m:rPr/>
          <w:rPr>
            <w:rFonts w:hint="default" w:ascii="Cambria Math" w:hAnsi="Cambria Math" w:cs="Times New Roman"/>
            <w:kern w:val="21"/>
            <w:szCs w:val="28"/>
          </w:rPr>
          <m:t>ln</m:t>
        </m:r>
        <m:sSup>
          <m:sSupPr>
            <m:ctrlPr>
              <w:rPr>
                <w:rFonts w:hint="default" w:ascii="Cambria Math" w:hAnsi="Cambria Math" w:cs="Times New Roman"/>
                <w:i/>
                <w:kern w:val="21"/>
                <w:szCs w:val="28"/>
              </w:rPr>
            </m:ctrlPr>
          </m:sSupPr>
          <m:e>
            <m:d>
              <m:dPr>
                <m:ctrlPr>
                  <w:rPr>
                    <w:rFonts w:hint="default" w:ascii="Cambria Math" w:hAnsi="Cambria Math" w:cs="Times New Roman"/>
                    <w:i/>
                    <w:kern w:val="21"/>
                    <w:szCs w:val="28"/>
                  </w:rPr>
                </m:ctrlPr>
              </m:dPr>
              <m:e>
                <m:r>
                  <m:rPr/>
                  <w:rPr>
                    <w:rFonts w:hint="default" w:ascii="Cambria Math" w:hAnsi="Cambria Math" w:cs="Times New Roman"/>
                    <w:kern w:val="21"/>
                    <w:szCs w:val="28"/>
                  </w:rPr>
                  <m:t>n</m:t>
                </m:r>
                <m:ctrlPr>
                  <w:rPr>
                    <w:rFonts w:hint="default" w:ascii="Cambria Math" w:hAnsi="Cambria Math" w:cs="Times New Roman"/>
                    <w:i/>
                    <w:kern w:val="21"/>
                    <w:szCs w:val="28"/>
                  </w:rPr>
                </m:ctrlPr>
              </m:e>
            </m:d>
            <m:ctrlPr>
              <w:rPr>
                <w:rFonts w:hint="default" w:ascii="Cambria Math" w:hAnsi="Cambria Math" w:cs="Times New Roman"/>
                <w:i/>
                <w:kern w:val="21"/>
                <w:szCs w:val="28"/>
              </w:rPr>
            </m:ctrlPr>
          </m:e>
          <m:sup>
            <m:r>
              <m:rPr/>
              <w:rPr>
                <w:rFonts w:hint="default" w:ascii="Cambria Math" w:hAnsi="Cambria Math" w:eastAsia="微软雅黑" w:cs="Times New Roman"/>
                <w:kern w:val="21"/>
                <w:szCs w:val="28"/>
              </w:rPr>
              <m:t>−</m:t>
            </m:r>
            <m:r>
              <m:rPr/>
              <w:rPr>
                <w:rFonts w:hint="default" w:ascii="Cambria Math" w:hAnsi="Cambria Math" w:cs="Times New Roman"/>
                <w:kern w:val="21"/>
                <w:szCs w:val="28"/>
              </w:rPr>
              <m:t>1</m:t>
            </m:r>
            <m:ctrlPr>
              <w:rPr>
                <w:rFonts w:hint="default" w:ascii="Cambria Math" w:hAnsi="Cambria Math" w:cs="Times New Roman"/>
                <w:i/>
                <w:kern w:val="21"/>
                <w:szCs w:val="28"/>
              </w:rPr>
            </m:ctrlPr>
          </m:sup>
        </m:sSup>
        <m:nary>
          <m:naryPr>
            <m:chr m:val="∑"/>
            <m:limLoc m:val="undOvr"/>
            <m:ctrlPr>
              <w:rPr>
                <w:rFonts w:hint="default" w:ascii="Cambria Math" w:hAnsi="Cambria Math" w:cs="Times New Roman"/>
                <w:i/>
                <w:kern w:val="21"/>
                <w:szCs w:val="28"/>
              </w:rPr>
            </m:ctrlPr>
          </m:naryPr>
          <m:sub>
            <m:r>
              <m:rPr/>
              <w:rPr>
                <w:rFonts w:hint="default" w:ascii="Cambria Math" w:hAnsi="Cambria Math" w:cs="Times New Roman"/>
                <w:kern w:val="21"/>
                <w:szCs w:val="28"/>
              </w:rPr>
              <m:t>i=1</m:t>
            </m:r>
            <m:ctrlPr>
              <w:rPr>
                <w:rFonts w:hint="default" w:ascii="Cambria Math" w:hAnsi="Cambria Math" w:cs="Times New Roman"/>
                <w:i/>
                <w:kern w:val="21"/>
                <w:szCs w:val="28"/>
              </w:rPr>
            </m:ctrlPr>
          </m:sub>
          <m:sup>
            <m:r>
              <m:rPr/>
              <w:rPr>
                <w:rFonts w:hint="default" w:ascii="Cambria Math" w:hAnsi="Cambria Math" w:cs="Times New Roman"/>
                <w:kern w:val="21"/>
                <w:szCs w:val="28"/>
              </w:rPr>
              <m:t>n</m:t>
            </m:r>
            <m:ctrlPr>
              <w:rPr>
                <w:rFonts w:hint="default" w:ascii="Cambria Math" w:hAnsi="Cambria Math" w:cs="Times New Roman"/>
                <w:i/>
                <w:kern w:val="21"/>
                <w:szCs w:val="28"/>
              </w:rPr>
            </m:ctrlPr>
          </m:sup>
          <m:e>
            <m:sSub>
              <m:sSubPr>
                <m:ctrlPr>
                  <w:rPr>
                    <w:rFonts w:hint="default" w:ascii="Cambria Math" w:hAnsi="Cambria Math" w:cs="Times New Roman"/>
                    <w:i/>
                    <w:kern w:val="21"/>
                    <w:szCs w:val="28"/>
                  </w:rPr>
                </m:ctrlPr>
              </m:sSubPr>
              <m:e>
                <m:r>
                  <m:rPr/>
                  <w:rPr>
                    <w:rFonts w:hint="default" w:ascii="Cambria Math" w:hAnsi="Cambria Math" w:cs="Times New Roman"/>
                    <w:kern w:val="21"/>
                    <w:szCs w:val="28"/>
                  </w:rPr>
                  <m:t>P</m:t>
                </m:r>
                <m:ctrlPr>
                  <w:rPr>
                    <w:rFonts w:hint="default" w:ascii="Cambria Math" w:hAnsi="Cambria Math" w:cs="Times New Roman"/>
                    <w:i/>
                    <w:kern w:val="21"/>
                    <w:szCs w:val="28"/>
                  </w:rPr>
                </m:ctrlPr>
              </m:e>
              <m:sub>
                <m:r>
                  <m:rPr/>
                  <w:rPr>
                    <w:rFonts w:hint="default" w:ascii="Cambria Math" w:hAnsi="Cambria Math" w:cs="Times New Roman"/>
                    <w:kern w:val="21"/>
                    <w:szCs w:val="28"/>
                  </w:rPr>
                  <m:t>ij</m:t>
                </m:r>
                <m:ctrlPr>
                  <w:rPr>
                    <w:rFonts w:hint="default" w:ascii="Cambria Math" w:hAnsi="Cambria Math" w:cs="Times New Roman"/>
                    <w:i/>
                    <w:kern w:val="21"/>
                    <w:szCs w:val="28"/>
                  </w:rPr>
                </m:ctrlPr>
              </m:sub>
            </m:sSub>
            <m:r>
              <m:rPr/>
              <w:rPr>
                <w:rFonts w:hint="default" w:ascii="Cambria Math" w:hAnsi="Cambria Math" w:cs="Times New Roman"/>
                <w:kern w:val="21"/>
                <w:szCs w:val="28"/>
              </w:rPr>
              <m:t>ln</m:t>
            </m:r>
            <m:sSub>
              <m:sSubPr>
                <m:ctrlPr>
                  <w:rPr>
                    <w:rFonts w:hint="default" w:ascii="Cambria Math" w:hAnsi="Cambria Math" w:cs="Times New Roman"/>
                    <w:i/>
                    <w:kern w:val="21"/>
                    <w:szCs w:val="28"/>
                  </w:rPr>
                </m:ctrlPr>
              </m:sSubPr>
              <m:e>
                <m:r>
                  <m:rPr/>
                  <w:rPr>
                    <w:rFonts w:hint="default" w:ascii="Cambria Math" w:hAnsi="Cambria Math" w:cs="Times New Roman"/>
                    <w:kern w:val="21"/>
                    <w:szCs w:val="28"/>
                  </w:rPr>
                  <m:t>P</m:t>
                </m:r>
                <m:ctrlPr>
                  <w:rPr>
                    <w:rFonts w:hint="default" w:ascii="Cambria Math" w:hAnsi="Cambria Math" w:cs="Times New Roman"/>
                    <w:i/>
                    <w:kern w:val="21"/>
                    <w:szCs w:val="28"/>
                  </w:rPr>
                </m:ctrlPr>
              </m:e>
              <m:sub>
                <m:r>
                  <m:rPr/>
                  <w:rPr>
                    <w:rFonts w:hint="default" w:ascii="Cambria Math" w:hAnsi="Cambria Math" w:cs="Times New Roman"/>
                    <w:kern w:val="21"/>
                    <w:szCs w:val="28"/>
                  </w:rPr>
                  <m:t>ij</m:t>
                </m:r>
                <m:ctrlPr>
                  <w:rPr>
                    <w:rFonts w:hint="default" w:ascii="Cambria Math" w:hAnsi="Cambria Math" w:cs="Times New Roman"/>
                    <w:i/>
                    <w:kern w:val="21"/>
                    <w:szCs w:val="28"/>
                  </w:rPr>
                </m:ctrlPr>
              </m:sub>
            </m:sSub>
            <m:ctrlPr>
              <w:rPr>
                <w:rFonts w:hint="default" w:ascii="Cambria Math" w:hAnsi="Cambria Math" w:cs="Times New Roman"/>
                <w:i/>
                <w:kern w:val="21"/>
                <w:szCs w:val="28"/>
              </w:rPr>
            </m:ctrlPr>
          </m:e>
        </m:nary>
      </m:oMath>
      <w:r>
        <w:rPr>
          <w:rFonts w:hint="eastAsia" w:ascii="仿宋" w:hAnsi="仿宋" w:eastAsia="仿宋" w:cs="仿宋"/>
          <w:kern w:val="21"/>
          <w:sz w:val="32"/>
          <w:szCs w:val="32"/>
        </w:rPr>
        <w:t>（</w:t>
      </w:r>
      <w:r>
        <w:rPr>
          <w:rFonts w:hint="eastAsia" w:ascii="仿宋" w:hAnsi="仿宋" w:eastAsia="仿宋" w:cs="仿宋"/>
          <w:kern w:val="21"/>
          <w:sz w:val="32"/>
          <w:szCs w:val="32"/>
          <w:lang w:val="en-US" w:eastAsia="zh-CN"/>
        </w:rPr>
        <w:t>6</w:t>
      </w:r>
      <w:r>
        <w:rPr>
          <w:rFonts w:hint="eastAsia" w:ascii="仿宋" w:hAnsi="仿宋" w:eastAsia="仿宋" w:cs="仿宋"/>
          <w:kern w:val="21"/>
          <w:sz w:val="32"/>
          <w:szCs w:val="32"/>
        </w:rPr>
        <w:t>.3）</w:t>
      </w:r>
    </w:p>
    <w:p>
      <w:pPr>
        <w:topLinePunct/>
        <w:adjustRightInd w:val="0"/>
        <w:ind w:firstLine="560"/>
        <w:rPr>
          <w:rFonts w:hint="eastAsia" w:ascii="仿宋" w:hAnsi="仿宋" w:eastAsia="仿宋" w:cs="仿宋"/>
          <w:snapToGrid w:val="0"/>
          <w:kern w:val="21"/>
          <w:sz w:val="32"/>
          <w:szCs w:val="32"/>
        </w:rPr>
      </w:pPr>
      <w:r>
        <w:rPr>
          <w:rFonts w:hint="eastAsia" w:ascii="仿宋" w:hAnsi="仿宋" w:eastAsia="仿宋" w:cs="仿宋"/>
          <w:snapToGrid w:val="0"/>
          <w:kern w:val="21"/>
          <w:sz w:val="32"/>
          <w:szCs w:val="32"/>
        </w:rPr>
        <w:t>式中，</w:t>
      </w:r>
      <m:oMath>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P</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ij</m:t>
            </m:r>
            <m:ctrlPr>
              <w:rPr>
                <w:rFonts w:hint="default" w:ascii="Cambria Math" w:hAnsi="Cambria Math" w:cs="Times New Roman"/>
                <w:i/>
                <w:snapToGrid w:val="0"/>
                <w:kern w:val="21"/>
                <w:szCs w:val="28"/>
              </w:rPr>
            </m:ctrlPr>
          </m:sub>
        </m:sSub>
        <m:r>
          <m:rPr/>
          <w:rPr>
            <w:rFonts w:hint="default" w:ascii="Cambria Math" w:hAnsi="Cambria Math" w:cs="Times New Roman"/>
            <w:snapToGrid w:val="0"/>
            <w:kern w:val="21"/>
            <w:szCs w:val="28"/>
          </w:rPr>
          <m:t>=</m:t>
        </m:r>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Y</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ij</m:t>
            </m:r>
            <m:ctrlPr>
              <w:rPr>
                <w:rFonts w:hint="default" w:ascii="Cambria Math" w:hAnsi="Cambria Math" w:cs="Times New Roman"/>
                <w:i/>
                <w:snapToGrid w:val="0"/>
                <w:kern w:val="21"/>
                <w:szCs w:val="28"/>
              </w:rPr>
            </m:ctrlPr>
          </m:sub>
        </m:sSub>
        <m:r>
          <m:rPr/>
          <w:rPr>
            <w:rFonts w:hint="default" w:ascii="Cambria Math" w:hAnsi="Cambria Math" w:cs="Times New Roman"/>
            <w:snapToGrid w:val="0"/>
            <w:kern w:val="21"/>
            <w:szCs w:val="28"/>
          </w:rPr>
          <m:t>/</m:t>
        </m:r>
        <m:nary>
          <m:naryPr>
            <m:chr m:val="∑"/>
            <m:limLoc m:val="undOvr"/>
            <m:ctrlPr>
              <w:rPr>
                <w:rFonts w:hint="default" w:ascii="Cambria Math" w:hAnsi="Cambria Math" w:cs="Times New Roman"/>
                <w:i/>
                <w:snapToGrid w:val="0"/>
                <w:kern w:val="21"/>
                <w:szCs w:val="28"/>
              </w:rPr>
            </m:ctrlPr>
          </m:naryPr>
          <m:sub>
            <m:r>
              <m:rPr/>
              <w:rPr>
                <w:rFonts w:hint="default" w:ascii="Cambria Math" w:hAnsi="Cambria Math" w:cs="Times New Roman"/>
                <w:snapToGrid w:val="0"/>
                <w:kern w:val="21"/>
                <w:szCs w:val="28"/>
              </w:rPr>
              <m:t>i=1</m:t>
            </m:r>
            <m:ctrlPr>
              <w:rPr>
                <w:rFonts w:hint="default" w:ascii="Cambria Math" w:hAnsi="Cambria Math" w:cs="Times New Roman"/>
                <w:i/>
                <w:snapToGrid w:val="0"/>
                <w:kern w:val="21"/>
                <w:szCs w:val="28"/>
              </w:rPr>
            </m:ctrlPr>
          </m:sub>
          <m:sup>
            <m:r>
              <m:rPr/>
              <w:rPr>
                <w:rFonts w:hint="default" w:ascii="Cambria Math" w:hAnsi="Cambria Math" w:cs="Times New Roman"/>
                <w:snapToGrid w:val="0"/>
                <w:kern w:val="21"/>
                <w:szCs w:val="28"/>
              </w:rPr>
              <m:t>n</m:t>
            </m:r>
            <m:ctrlPr>
              <w:rPr>
                <w:rFonts w:hint="default" w:ascii="Cambria Math" w:hAnsi="Cambria Math" w:cs="Times New Roman"/>
                <w:i/>
                <w:snapToGrid w:val="0"/>
                <w:kern w:val="21"/>
                <w:szCs w:val="28"/>
              </w:rPr>
            </m:ctrlPr>
          </m:sup>
          <m:e>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Y</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ij</m:t>
                </m:r>
                <m:ctrlPr>
                  <w:rPr>
                    <w:rFonts w:hint="default" w:ascii="Cambria Math" w:hAnsi="Cambria Math" w:cs="Times New Roman"/>
                    <w:i/>
                    <w:snapToGrid w:val="0"/>
                    <w:kern w:val="21"/>
                    <w:szCs w:val="28"/>
                  </w:rPr>
                </m:ctrlPr>
              </m:sub>
            </m:sSub>
            <m:ctrlPr>
              <w:rPr>
                <w:rFonts w:hint="default" w:ascii="Cambria Math" w:hAnsi="Cambria Math" w:cs="Times New Roman"/>
                <w:i/>
                <w:snapToGrid w:val="0"/>
                <w:kern w:val="21"/>
                <w:szCs w:val="28"/>
              </w:rPr>
            </m:ctrlPr>
          </m:e>
        </m:nary>
      </m:oMath>
      <w:r>
        <w:rPr>
          <w:rFonts w:hint="eastAsia" w:ascii="仿宋" w:hAnsi="仿宋" w:eastAsia="仿宋" w:cs="仿宋"/>
          <w:snapToGrid w:val="0"/>
          <w:kern w:val="21"/>
          <w:sz w:val="32"/>
          <w:szCs w:val="32"/>
        </w:rPr>
        <w:fldChar w:fldCharType="begin"/>
      </w:r>
      <w:r>
        <w:rPr>
          <w:rFonts w:hint="eastAsia" w:ascii="仿宋" w:hAnsi="仿宋" w:eastAsia="仿宋" w:cs="仿宋"/>
          <w:snapToGrid w:val="0"/>
          <w:kern w:val="21"/>
          <w:sz w:val="32"/>
          <w:szCs w:val="32"/>
        </w:rPr>
        <w:instrText xml:space="preserve"> QUOTE </w:instrText>
      </w:r>
      <w:r>
        <w:rPr>
          <w:rFonts w:hint="eastAsia" w:ascii="仿宋" w:hAnsi="仿宋" w:eastAsia="仿宋" w:cs="仿宋"/>
          <w:kern w:val="21"/>
          <w:sz w:val="32"/>
          <w:szCs w:val="32"/>
        </w:rPr>
        <w:instrText xml:space="preserve">Pij=Yij/i=1nYij</w:instrText>
      </w:r>
      <w:r>
        <w:rPr>
          <w:rFonts w:hint="eastAsia" w:ascii="仿宋" w:hAnsi="仿宋" w:eastAsia="仿宋" w:cs="仿宋"/>
          <w:snapToGrid w:val="0"/>
          <w:kern w:val="21"/>
          <w:sz w:val="32"/>
          <w:szCs w:val="32"/>
        </w:rPr>
        <w:instrText xml:space="preserve"> </w:instrText>
      </w:r>
      <w:r>
        <w:rPr>
          <w:rFonts w:hint="eastAsia" w:ascii="仿宋" w:hAnsi="仿宋" w:eastAsia="仿宋" w:cs="仿宋"/>
          <w:snapToGrid w:val="0"/>
          <w:kern w:val="21"/>
          <w:sz w:val="32"/>
          <w:szCs w:val="32"/>
        </w:rPr>
        <w:fldChar w:fldCharType="end"/>
      </w:r>
      <w:r>
        <w:rPr>
          <w:rFonts w:hint="eastAsia" w:ascii="仿宋" w:hAnsi="仿宋" w:eastAsia="仿宋" w:cs="仿宋"/>
          <w:snapToGrid w:val="0"/>
          <w:kern w:val="21"/>
          <w:sz w:val="32"/>
          <w:szCs w:val="32"/>
        </w:rPr>
        <w:t>，如果</w:t>
      </w:r>
      <m:oMath>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P</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ij</m:t>
            </m:r>
            <m:ctrlPr>
              <w:rPr>
                <w:rFonts w:hint="default" w:ascii="Cambria Math" w:hAnsi="Cambria Math" w:cs="Times New Roman"/>
                <w:i/>
                <w:snapToGrid w:val="0"/>
                <w:kern w:val="21"/>
                <w:szCs w:val="28"/>
              </w:rPr>
            </m:ctrlPr>
          </m:sub>
        </m:sSub>
        <m:r>
          <m:rPr/>
          <w:rPr>
            <w:rFonts w:hint="default" w:ascii="Cambria Math" w:hAnsi="Cambria Math" w:cs="Times New Roman"/>
            <w:snapToGrid w:val="0"/>
            <w:kern w:val="21"/>
            <w:szCs w:val="28"/>
          </w:rPr>
          <m:t>=0</m:t>
        </m:r>
      </m:oMath>
      <w:r>
        <w:rPr>
          <w:rFonts w:hint="eastAsia" w:ascii="仿宋" w:hAnsi="仿宋" w:eastAsia="仿宋" w:cs="仿宋"/>
          <w:snapToGrid w:val="0"/>
          <w:kern w:val="21"/>
          <w:sz w:val="32"/>
          <w:szCs w:val="32"/>
        </w:rPr>
        <w:t>，则定义</w:t>
      </w:r>
      <m:oMath>
        <m:func>
          <m:funcPr>
            <m:ctrlPr>
              <w:rPr>
                <w:rFonts w:hint="default" w:ascii="Cambria Math" w:hAnsi="Cambria Math" w:cs="Times New Roman"/>
                <w:i/>
                <w:snapToGrid w:val="0"/>
                <w:kern w:val="21"/>
                <w:szCs w:val="28"/>
              </w:rPr>
            </m:ctrlPr>
          </m:funcPr>
          <m:fName>
            <m:limLow>
              <m:limLowPr>
                <m:ctrlPr>
                  <w:rPr>
                    <w:rFonts w:hint="default" w:ascii="Cambria Math" w:hAnsi="Cambria Math" w:cs="Times New Roman"/>
                    <w:i/>
                    <w:snapToGrid w:val="0"/>
                    <w:kern w:val="21"/>
                    <w:szCs w:val="28"/>
                  </w:rPr>
                </m:ctrlPr>
              </m:limLowPr>
              <m:e>
                <m:r>
                  <m:rPr>
                    <m:sty m:val="p"/>
                  </m:rPr>
                  <w:rPr>
                    <w:rFonts w:hint="default" w:ascii="Cambria Math" w:hAnsi="Cambria Math" w:cs="Times New Roman"/>
                    <w:snapToGrid w:val="0"/>
                    <w:kern w:val="21"/>
                    <w:szCs w:val="28"/>
                  </w:rPr>
                  <m:t>lim</m:t>
                </m:r>
                <m:ctrlPr>
                  <w:rPr>
                    <w:rFonts w:hint="default" w:ascii="Cambria Math" w:hAnsi="Cambria Math" w:cs="Times New Roman"/>
                    <w:i/>
                    <w:snapToGrid w:val="0"/>
                    <w:kern w:val="21"/>
                    <w:szCs w:val="28"/>
                  </w:rPr>
                </m:ctrlPr>
              </m:e>
              <m:lim>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P</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ij</m:t>
                    </m:r>
                    <m:ctrlPr>
                      <w:rPr>
                        <w:rFonts w:hint="default" w:ascii="Cambria Math" w:hAnsi="Cambria Math" w:cs="Times New Roman"/>
                        <w:i/>
                        <w:snapToGrid w:val="0"/>
                        <w:kern w:val="21"/>
                        <w:szCs w:val="28"/>
                      </w:rPr>
                    </m:ctrlPr>
                  </m:sub>
                </m:sSub>
                <m:r>
                  <m:rPr/>
                  <w:rPr>
                    <w:rFonts w:hint="default" w:ascii="Cambria Math" w:hAnsi="Cambria Math" w:cs="Times New Roman"/>
                    <w:snapToGrid w:val="0"/>
                    <w:kern w:val="21"/>
                    <w:szCs w:val="28"/>
                  </w:rPr>
                  <m:t>∝0</m:t>
                </m:r>
                <m:ctrlPr>
                  <w:rPr>
                    <w:rFonts w:hint="default" w:ascii="Cambria Math" w:hAnsi="Cambria Math" w:cs="Times New Roman"/>
                    <w:i/>
                    <w:snapToGrid w:val="0"/>
                    <w:kern w:val="21"/>
                    <w:szCs w:val="28"/>
                  </w:rPr>
                </m:ctrlPr>
              </m:lim>
            </m:limLow>
            <m:ctrlPr>
              <w:rPr>
                <w:rFonts w:hint="default" w:ascii="Cambria Math" w:hAnsi="Cambria Math" w:cs="Times New Roman"/>
                <w:i/>
                <w:snapToGrid w:val="0"/>
                <w:kern w:val="21"/>
                <w:szCs w:val="28"/>
              </w:rPr>
            </m:ctrlPr>
          </m:fName>
          <m:e>
            <m:sSub>
              <m:sSubPr>
                <m:ctrlPr>
                  <w:rPr>
                    <w:rFonts w:hint="default" w:ascii="Cambria Math" w:hAnsi="Cambria Math" w:cs="Times New Roman"/>
                    <w:i/>
                    <w:snapToGrid w:val="0"/>
                    <w:kern w:val="21"/>
                    <w:szCs w:val="28"/>
                  </w:rPr>
                </m:ctrlPr>
              </m:sSubPr>
              <m:e>
                <m:r>
                  <m:rPr/>
                  <w:rPr>
                    <w:rFonts w:hint="default" w:ascii="Cambria Math" w:hAnsi="Cambria Math" w:cs="Times New Roman"/>
                    <w:snapToGrid w:val="0"/>
                    <w:kern w:val="21"/>
                    <w:szCs w:val="28"/>
                  </w:rPr>
                  <m:t>P</m:t>
                </m:r>
                <m:ctrlPr>
                  <w:rPr>
                    <w:rFonts w:hint="default" w:ascii="Cambria Math" w:hAnsi="Cambria Math" w:cs="Times New Roman"/>
                    <w:i/>
                    <w:snapToGrid w:val="0"/>
                    <w:kern w:val="21"/>
                    <w:szCs w:val="28"/>
                  </w:rPr>
                </m:ctrlPr>
              </m:e>
              <m:sub>
                <m:r>
                  <m:rPr/>
                  <w:rPr>
                    <w:rFonts w:hint="default" w:ascii="Cambria Math" w:hAnsi="Cambria Math" w:cs="Times New Roman"/>
                    <w:snapToGrid w:val="0"/>
                    <w:kern w:val="21"/>
                    <w:szCs w:val="28"/>
                  </w:rPr>
                  <m:t>ij</m:t>
                </m:r>
                <m:ctrlPr>
                  <w:rPr>
                    <w:rFonts w:hint="default" w:ascii="Cambria Math" w:hAnsi="Cambria Math" w:cs="Times New Roman"/>
                    <w:i/>
                    <w:snapToGrid w:val="0"/>
                    <w:kern w:val="21"/>
                    <w:szCs w:val="28"/>
                  </w:rPr>
                </m:ctrlPr>
              </m:sub>
            </m:sSub>
            <m:ctrlPr>
              <w:rPr>
                <w:rFonts w:hint="default" w:ascii="Cambria Math" w:hAnsi="Cambria Math" w:cs="Times New Roman"/>
                <w:i/>
                <w:snapToGrid w:val="0"/>
                <w:kern w:val="21"/>
                <w:szCs w:val="28"/>
              </w:rPr>
            </m:ctrlPr>
          </m:e>
        </m:func>
        <m:r>
          <m:rPr/>
          <w:rPr>
            <w:rFonts w:hint="default" w:ascii="Cambria Math" w:hAnsi="Cambria Math" w:cs="Times New Roman"/>
            <w:kern w:val="21"/>
            <w:szCs w:val="28"/>
          </w:rPr>
          <m:t>ln</m:t>
        </m:r>
        <m:sSub>
          <m:sSubPr>
            <m:ctrlPr>
              <w:rPr>
                <w:rFonts w:hint="default" w:ascii="Cambria Math" w:hAnsi="Cambria Math" w:cs="Times New Roman"/>
                <w:i/>
                <w:kern w:val="21"/>
                <w:szCs w:val="28"/>
              </w:rPr>
            </m:ctrlPr>
          </m:sSubPr>
          <m:e>
            <m:r>
              <m:rPr/>
              <w:rPr>
                <w:rFonts w:hint="default" w:ascii="Cambria Math" w:hAnsi="Cambria Math" w:cs="Times New Roman"/>
                <w:kern w:val="21"/>
                <w:szCs w:val="28"/>
              </w:rPr>
              <m:t>P</m:t>
            </m:r>
            <m:ctrlPr>
              <w:rPr>
                <w:rFonts w:hint="default" w:ascii="Cambria Math" w:hAnsi="Cambria Math" w:cs="Times New Roman"/>
                <w:i/>
                <w:kern w:val="21"/>
                <w:szCs w:val="28"/>
              </w:rPr>
            </m:ctrlPr>
          </m:e>
          <m:sub>
            <m:r>
              <m:rPr/>
              <w:rPr>
                <w:rFonts w:hint="default" w:ascii="Cambria Math" w:hAnsi="Cambria Math" w:cs="Times New Roman"/>
                <w:kern w:val="21"/>
                <w:szCs w:val="28"/>
              </w:rPr>
              <m:t>ij</m:t>
            </m:r>
            <m:ctrlPr>
              <w:rPr>
                <w:rFonts w:hint="default" w:ascii="Cambria Math" w:hAnsi="Cambria Math" w:cs="Times New Roman"/>
                <w:i/>
                <w:kern w:val="21"/>
                <w:szCs w:val="28"/>
              </w:rPr>
            </m:ctrlPr>
          </m:sub>
        </m:sSub>
        <m:r>
          <m:rPr/>
          <w:rPr>
            <w:rFonts w:hint="default" w:ascii="Cambria Math" w:hAnsi="Cambria Math" w:cs="Times New Roman"/>
            <w:kern w:val="21"/>
            <w:szCs w:val="28"/>
          </w:rPr>
          <m:t>=0</m:t>
        </m:r>
      </m:oMath>
      <w:r>
        <w:rPr>
          <w:rFonts w:hint="eastAsia" w:ascii="仿宋" w:hAnsi="仿宋" w:eastAsia="仿宋" w:cs="仿宋"/>
          <w:snapToGrid w:val="0"/>
          <w:kern w:val="21"/>
          <w:sz w:val="32"/>
          <w:szCs w:val="32"/>
        </w:rPr>
        <w:t>。</w:t>
      </w:r>
      <w:r>
        <w:rPr>
          <w:rFonts w:hint="eastAsia" w:ascii="仿宋" w:hAnsi="仿宋" w:eastAsia="仿宋" w:cs="仿宋"/>
          <w:snapToGrid w:val="0"/>
          <w:kern w:val="21"/>
          <w:sz w:val="32"/>
          <w:szCs w:val="32"/>
        </w:rPr>
        <w:fldChar w:fldCharType="begin"/>
      </w:r>
      <w:r>
        <w:rPr>
          <w:rFonts w:hint="eastAsia" w:ascii="仿宋" w:hAnsi="仿宋" w:eastAsia="仿宋" w:cs="仿宋"/>
          <w:snapToGrid w:val="0"/>
          <w:kern w:val="21"/>
          <w:sz w:val="32"/>
          <w:szCs w:val="32"/>
        </w:rPr>
        <w:instrText xml:space="preserve"> QUOTE </w:instrText>
      </w:r>
      <w:r>
        <w:rPr>
          <w:rFonts w:hint="eastAsia" w:ascii="仿宋" w:hAnsi="仿宋" w:eastAsia="仿宋" w:cs="仿宋"/>
          <w:kern w:val="21"/>
          <w:sz w:val="32"/>
          <w:szCs w:val="32"/>
        </w:rPr>
        <w:instrText xml:space="preserve">limPij∝0PijlnPij=0</w:instrText>
      </w:r>
      <w:r>
        <w:rPr>
          <w:rFonts w:hint="eastAsia" w:ascii="仿宋" w:hAnsi="仿宋" w:eastAsia="仿宋" w:cs="仿宋"/>
          <w:snapToGrid w:val="0"/>
          <w:kern w:val="21"/>
          <w:sz w:val="32"/>
          <w:szCs w:val="32"/>
        </w:rPr>
        <w:instrText xml:space="preserve"> </w:instrText>
      </w:r>
      <w:r>
        <w:rPr>
          <w:rFonts w:hint="eastAsia" w:ascii="仿宋" w:hAnsi="仿宋" w:eastAsia="仿宋" w:cs="仿宋"/>
          <w:snapToGrid w:val="0"/>
          <w:kern w:val="21"/>
          <w:sz w:val="32"/>
          <w:szCs w:val="32"/>
        </w:rPr>
        <w:fldChar w:fldCharType="end"/>
      </w:r>
    </w:p>
    <w:p>
      <w:pPr>
        <w:topLinePunct/>
        <w:adjustRightInd w:val="0"/>
        <w:ind w:firstLine="560"/>
        <w:rPr>
          <w:rFonts w:hint="eastAsia" w:ascii="仿宋" w:hAnsi="仿宋" w:eastAsia="仿宋" w:cs="仿宋"/>
          <w:snapToGrid w:val="0"/>
          <w:kern w:val="21"/>
          <w:sz w:val="32"/>
          <w:szCs w:val="32"/>
        </w:rPr>
      </w:pPr>
      <w:r>
        <w:rPr>
          <w:rFonts w:hint="eastAsia" w:ascii="仿宋" w:hAnsi="仿宋" w:eastAsia="仿宋" w:cs="仿宋"/>
          <w:kern w:val="21"/>
          <w:sz w:val="32"/>
          <w:szCs w:val="32"/>
        </w:rPr>
        <w:t>②确定第</w:t>
      </w:r>
      <w:r>
        <w:rPr>
          <w:rFonts w:hint="eastAsia" w:ascii="仿宋" w:hAnsi="仿宋" w:eastAsia="仿宋" w:cs="仿宋"/>
          <w:i/>
          <w:iCs/>
          <w:kern w:val="21"/>
          <w:sz w:val="32"/>
          <w:szCs w:val="32"/>
        </w:rPr>
        <w:t>j</w:t>
      </w:r>
      <w:r>
        <w:rPr>
          <w:rFonts w:hint="eastAsia" w:ascii="仿宋" w:hAnsi="仿宋" w:eastAsia="仿宋" w:cs="仿宋"/>
          <w:kern w:val="21"/>
          <w:sz w:val="32"/>
          <w:szCs w:val="32"/>
        </w:rPr>
        <w:t>项具体指标的信息权重。</w:t>
      </w:r>
      <w:r>
        <w:rPr>
          <w:rFonts w:hint="eastAsia" w:ascii="仿宋" w:hAnsi="仿宋" w:eastAsia="仿宋" w:cs="仿宋"/>
          <w:snapToGrid w:val="0"/>
          <w:kern w:val="21"/>
          <w:sz w:val="32"/>
          <w:szCs w:val="32"/>
        </w:rPr>
        <w:t>根据信息熵的计算公式，计算出各个指标的信息熵为</w:t>
      </w:r>
      <w:r>
        <w:rPr>
          <w:rFonts w:hint="eastAsia" w:ascii="仿宋" w:hAnsi="仿宋" w:eastAsia="仿宋" w:cs="仿宋"/>
          <w:i/>
          <w:snapToGrid w:val="0"/>
          <w:kern w:val="21"/>
          <w:sz w:val="32"/>
          <w:szCs w:val="32"/>
        </w:rPr>
        <w:t>E</w:t>
      </w:r>
      <w:r>
        <w:rPr>
          <w:rFonts w:hint="eastAsia" w:ascii="仿宋" w:hAnsi="仿宋" w:eastAsia="仿宋" w:cs="仿宋"/>
          <w:snapToGrid w:val="0"/>
          <w:kern w:val="21"/>
          <w:sz w:val="32"/>
          <w:szCs w:val="32"/>
          <w:vertAlign w:val="subscript"/>
        </w:rPr>
        <w:t>1</w:t>
      </w:r>
      <w:r>
        <w:rPr>
          <w:rFonts w:hint="eastAsia" w:ascii="仿宋" w:hAnsi="仿宋" w:eastAsia="仿宋" w:cs="仿宋"/>
          <w:snapToGrid w:val="0"/>
          <w:kern w:val="21"/>
          <w:sz w:val="32"/>
          <w:szCs w:val="32"/>
        </w:rPr>
        <w:t>，</w:t>
      </w:r>
      <w:r>
        <w:rPr>
          <w:rFonts w:hint="eastAsia" w:ascii="仿宋" w:hAnsi="仿宋" w:eastAsia="仿宋" w:cs="仿宋"/>
          <w:i/>
          <w:snapToGrid w:val="0"/>
          <w:kern w:val="21"/>
          <w:sz w:val="32"/>
          <w:szCs w:val="32"/>
        </w:rPr>
        <w:t>E</w:t>
      </w:r>
      <w:r>
        <w:rPr>
          <w:rFonts w:hint="eastAsia" w:ascii="仿宋" w:hAnsi="仿宋" w:eastAsia="仿宋" w:cs="仿宋"/>
          <w:snapToGrid w:val="0"/>
          <w:kern w:val="21"/>
          <w:sz w:val="32"/>
          <w:szCs w:val="32"/>
          <w:vertAlign w:val="subscript"/>
        </w:rPr>
        <w:t>2</w:t>
      </w:r>
      <w:r>
        <w:rPr>
          <w:rFonts w:hint="eastAsia" w:ascii="仿宋" w:hAnsi="仿宋" w:eastAsia="仿宋" w:cs="仿宋"/>
          <w:snapToGrid w:val="0"/>
          <w:kern w:val="21"/>
          <w:sz w:val="32"/>
          <w:szCs w:val="32"/>
        </w:rPr>
        <w:t>，</w:t>
      </w:r>
      <w:r>
        <w:rPr>
          <w:rFonts w:hint="eastAsia" w:ascii="仿宋" w:hAnsi="仿宋" w:eastAsia="仿宋" w:cs="仿宋"/>
          <w:i/>
          <w:snapToGrid w:val="0"/>
          <w:kern w:val="21"/>
          <w:sz w:val="32"/>
          <w:szCs w:val="32"/>
        </w:rPr>
        <w:t>E</w:t>
      </w:r>
      <w:r>
        <w:rPr>
          <w:rFonts w:hint="eastAsia" w:ascii="仿宋" w:hAnsi="仿宋" w:eastAsia="仿宋" w:cs="仿宋"/>
          <w:snapToGrid w:val="0"/>
          <w:kern w:val="21"/>
          <w:sz w:val="32"/>
          <w:szCs w:val="32"/>
          <w:vertAlign w:val="subscript"/>
        </w:rPr>
        <w:t>3</w:t>
      </w:r>
      <w:r>
        <w:rPr>
          <w:rFonts w:hint="eastAsia" w:ascii="仿宋" w:hAnsi="仿宋" w:eastAsia="仿宋" w:cs="仿宋"/>
          <w:snapToGrid w:val="0"/>
          <w:kern w:val="21"/>
          <w:sz w:val="32"/>
          <w:szCs w:val="32"/>
        </w:rPr>
        <w:t>，…，</w:t>
      </w:r>
      <w:r>
        <w:rPr>
          <w:rFonts w:hint="eastAsia" w:ascii="仿宋" w:hAnsi="仿宋" w:eastAsia="仿宋" w:cs="仿宋"/>
          <w:i/>
          <w:snapToGrid w:val="0"/>
          <w:kern w:val="21"/>
          <w:sz w:val="32"/>
          <w:szCs w:val="32"/>
        </w:rPr>
        <w:t>E</w:t>
      </w:r>
      <w:r>
        <w:rPr>
          <w:rFonts w:hint="eastAsia" w:ascii="仿宋" w:hAnsi="仿宋" w:eastAsia="仿宋" w:cs="仿宋"/>
          <w:i/>
          <w:snapToGrid w:val="0"/>
          <w:kern w:val="21"/>
          <w:sz w:val="32"/>
          <w:szCs w:val="32"/>
          <w:vertAlign w:val="subscript"/>
        </w:rPr>
        <w:t>n</w:t>
      </w:r>
      <w:r>
        <w:rPr>
          <w:rFonts w:hint="eastAsia" w:ascii="仿宋" w:hAnsi="仿宋" w:eastAsia="仿宋" w:cs="仿宋"/>
          <w:snapToGrid w:val="0"/>
          <w:kern w:val="21"/>
          <w:sz w:val="32"/>
          <w:szCs w:val="32"/>
        </w:rPr>
        <w:t>。通过信息熵计算各指标的权重：</w:t>
      </w:r>
    </w:p>
    <w:p>
      <w:pPr>
        <w:topLinePunct/>
        <w:adjustRightInd w:val="0"/>
        <w:ind w:firstLine="560"/>
        <w:jc w:val="left"/>
        <w:rPr>
          <w:rFonts w:hint="eastAsia" w:ascii="仿宋" w:hAnsi="仿宋" w:eastAsia="仿宋" w:cs="仿宋"/>
          <w:kern w:val="21"/>
          <w:sz w:val="32"/>
          <w:szCs w:val="32"/>
        </w:rPr>
      </w:pPr>
      <m:oMath>
        <m:sSub>
          <m:sSubPr>
            <m:ctrlPr>
              <w:rPr>
                <w:rFonts w:hint="default" w:ascii="Cambria Math" w:hAnsi="Cambria Math" w:cs="Times New Roman"/>
                <w:i/>
                <w:kern w:val="21"/>
                <w:szCs w:val="28"/>
              </w:rPr>
            </m:ctrlPr>
          </m:sSubPr>
          <m:e>
            <m:r>
              <m:rPr/>
              <w:rPr>
                <w:rFonts w:hint="default" w:ascii="Cambria Math" w:hAnsi="Cambria Math" w:cs="Times New Roman"/>
                <w:kern w:val="21"/>
                <w:szCs w:val="28"/>
              </w:rPr>
              <m:t>W</m:t>
            </m:r>
            <m:ctrlPr>
              <w:rPr>
                <w:rFonts w:hint="default" w:ascii="Cambria Math" w:hAnsi="Cambria Math" w:cs="Times New Roman"/>
                <w:i/>
                <w:kern w:val="21"/>
                <w:szCs w:val="28"/>
              </w:rPr>
            </m:ctrlPr>
          </m:e>
          <m:sub>
            <m:r>
              <m:rPr/>
              <w:rPr>
                <w:rFonts w:hint="default" w:ascii="Cambria Math" w:hAnsi="Cambria Math" w:cs="Times New Roman"/>
                <w:kern w:val="21"/>
                <w:szCs w:val="28"/>
              </w:rPr>
              <m:t>i</m:t>
            </m:r>
            <m:ctrlPr>
              <w:rPr>
                <w:rFonts w:hint="default" w:ascii="Cambria Math" w:hAnsi="Cambria Math" w:cs="Times New Roman"/>
                <w:i/>
                <w:kern w:val="21"/>
                <w:szCs w:val="28"/>
              </w:rPr>
            </m:ctrlPr>
          </m:sub>
        </m:sSub>
        <m:r>
          <m:rPr/>
          <w:rPr>
            <w:rFonts w:hint="default" w:ascii="Cambria Math" w:hAnsi="Cambria Math" w:cs="Times New Roman"/>
            <w:kern w:val="21"/>
            <w:szCs w:val="28"/>
          </w:rPr>
          <m:t>=</m:t>
        </m:r>
        <m:f>
          <m:fPr>
            <m:ctrlPr>
              <w:rPr>
                <w:rFonts w:hint="default" w:ascii="Cambria Math" w:hAnsi="Cambria Math" w:cs="Times New Roman"/>
                <w:i/>
                <w:kern w:val="21"/>
                <w:szCs w:val="28"/>
              </w:rPr>
            </m:ctrlPr>
          </m:fPr>
          <m:num>
            <m:r>
              <m:rPr/>
              <w:rPr>
                <w:rFonts w:hint="default" w:ascii="Cambria Math" w:hAnsi="Cambria Math" w:cs="Times New Roman"/>
                <w:kern w:val="21"/>
                <w:szCs w:val="28"/>
              </w:rPr>
              <m:t>1</m:t>
            </m:r>
            <m:r>
              <m:rPr/>
              <w:rPr>
                <w:rFonts w:hint="default" w:ascii="Cambria Math" w:hAnsi="Cambria Math" w:eastAsia="微软雅黑" w:cs="Times New Roman"/>
                <w:kern w:val="21"/>
                <w:szCs w:val="28"/>
              </w:rPr>
              <m:t>−</m:t>
            </m:r>
            <m:sSub>
              <m:sSubPr>
                <m:ctrlPr>
                  <w:rPr>
                    <w:rFonts w:hint="default" w:ascii="Cambria Math" w:hAnsi="Cambria Math" w:cs="Times New Roman"/>
                    <w:i/>
                    <w:kern w:val="21"/>
                    <w:szCs w:val="28"/>
                  </w:rPr>
                </m:ctrlPr>
              </m:sSubPr>
              <m:e>
                <m:r>
                  <m:rPr/>
                  <w:rPr>
                    <w:rFonts w:hint="default" w:ascii="Cambria Math" w:hAnsi="Cambria Math" w:cs="Times New Roman"/>
                    <w:kern w:val="21"/>
                    <w:szCs w:val="28"/>
                  </w:rPr>
                  <m:t>E</m:t>
                </m:r>
                <m:ctrlPr>
                  <w:rPr>
                    <w:rFonts w:hint="default" w:ascii="Cambria Math" w:hAnsi="Cambria Math" w:cs="Times New Roman"/>
                    <w:i/>
                    <w:kern w:val="21"/>
                    <w:szCs w:val="28"/>
                  </w:rPr>
                </m:ctrlPr>
              </m:e>
              <m:sub>
                <m:r>
                  <m:rPr/>
                  <w:rPr>
                    <w:rFonts w:hint="default" w:ascii="Cambria Math" w:hAnsi="Cambria Math" w:cs="Times New Roman"/>
                    <w:kern w:val="21"/>
                    <w:szCs w:val="28"/>
                  </w:rPr>
                  <m:t>i</m:t>
                </m:r>
                <m:ctrlPr>
                  <w:rPr>
                    <w:rFonts w:hint="default" w:ascii="Cambria Math" w:hAnsi="Cambria Math" w:cs="Times New Roman"/>
                    <w:i/>
                    <w:kern w:val="21"/>
                    <w:szCs w:val="28"/>
                  </w:rPr>
                </m:ctrlPr>
              </m:sub>
            </m:sSub>
            <m:ctrlPr>
              <w:rPr>
                <w:rFonts w:hint="default" w:ascii="Cambria Math" w:hAnsi="Cambria Math" w:cs="Times New Roman"/>
                <w:i/>
                <w:kern w:val="21"/>
                <w:szCs w:val="28"/>
              </w:rPr>
            </m:ctrlPr>
          </m:num>
          <m:den>
            <m:r>
              <m:rPr/>
              <w:rPr>
                <w:rFonts w:hint="default" w:ascii="Cambria Math" w:hAnsi="Cambria Math" w:cs="Times New Roman"/>
                <w:kern w:val="21"/>
                <w:szCs w:val="28"/>
              </w:rPr>
              <m:t>n</m:t>
            </m:r>
            <m:r>
              <m:rPr/>
              <w:rPr>
                <w:rFonts w:hint="default" w:ascii="Cambria Math" w:hAnsi="Cambria Math" w:eastAsia="微软雅黑" w:cs="Times New Roman"/>
                <w:kern w:val="21"/>
                <w:szCs w:val="28"/>
              </w:rPr>
              <m:t>−</m:t>
            </m:r>
            <m:nary>
              <m:naryPr>
                <m:chr m:val="∑"/>
                <m:limLoc m:val="undOvr"/>
                <m:subHide m:val="1"/>
                <m:supHide m:val="1"/>
                <m:ctrlPr>
                  <w:rPr>
                    <w:rFonts w:hint="default" w:ascii="Cambria Math" w:hAnsi="Cambria Math" w:cs="Times New Roman"/>
                    <w:i/>
                    <w:kern w:val="21"/>
                    <w:szCs w:val="28"/>
                  </w:rPr>
                </m:ctrlPr>
              </m:naryPr>
              <m:sub>
                <m:ctrlPr>
                  <w:rPr>
                    <w:rFonts w:hint="default" w:ascii="Cambria Math" w:hAnsi="Cambria Math" w:cs="Times New Roman"/>
                    <w:i/>
                    <w:kern w:val="21"/>
                    <w:szCs w:val="28"/>
                  </w:rPr>
                </m:ctrlPr>
              </m:sub>
              <m:sup>
                <m:ctrlPr>
                  <w:rPr>
                    <w:rFonts w:hint="default" w:ascii="Cambria Math" w:hAnsi="Cambria Math" w:cs="Times New Roman"/>
                    <w:i/>
                    <w:kern w:val="21"/>
                    <w:szCs w:val="28"/>
                  </w:rPr>
                </m:ctrlPr>
              </m:sup>
              <m:e>
                <m:sSub>
                  <m:sSubPr>
                    <m:ctrlPr>
                      <w:rPr>
                        <w:rFonts w:hint="default" w:ascii="Cambria Math" w:hAnsi="Cambria Math" w:cs="Times New Roman"/>
                        <w:i/>
                        <w:kern w:val="21"/>
                        <w:szCs w:val="28"/>
                      </w:rPr>
                    </m:ctrlPr>
                  </m:sSubPr>
                  <m:e>
                    <m:r>
                      <m:rPr/>
                      <w:rPr>
                        <w:rFonts w:hint="default" w:ascii="Cambria Math" w:hAnsi="Cambria Math" w:cs="Times New Roman"/>
                        <w:kern w:val="21"/>
                        <w:szCs w:val="28"/>
                      </w:rPr>
                      <m:t>E</m:t>
                    </m:r>
                    <m:ctrlPr>
                      <w:rPr>
                        <w:rFonts w:hint="default" w:ascii="Cambria Math" w:hAnsi="Cambria Math" w:cs="Times New Roman"/>
                        <w:i/>
                        <w:kern w:val="21"/>
                        <w:szCs w:val="28"/>
                      </w:rPr>
                    </m:ctrlPr>
                  </m:e>
                  <m:sub>
                    <m:r>
                      <m:rPr/>
                      <w:rPr>
                        <w:rFonts w:hint="default" w:ascii="Cambria Math" w:hAnsi="Cambria Math" w:cs="Times New Roman"/>
                        <w:kern w:val="21"/>
                        <w:szCs w:val="28"/>
                      </w:rPr>
                      <m:t>i</m:t>
                    </m:r>
                    <m:ctrlPr>
                      <w:rPr>
                        <w:rFonts w:hint="default" w:ascii="Cambria Math" w:hAnsi="Cambria Math" w:cs="Times New Roman"/>
                        <w:i/>
                        <w:kern w:val="21"/>
                        <w:szCs w:val="28"/>
                      </w:rPr>
                    </m:ctrlPr>
                  </m:sub>
                </m:sSub>
                <m:ctrlPr>
                  <w:rPr>
                    <w:rFonts w:hint="default" w:ascii="Cambria Math" w:hAnsi="Cambria Math" w:cs="Times New Roman"/>
                    <w:i/>
                    <w:kern w:val="21"/>
                    <w:szCs w:val="28"/>
                  </w:rPr>
                </m:ctrlPr>
              </m:e>
            </m:nary>
            <m:ctrlPr>
              <w:rPr>
                <w:rFonts w:hint="default" w:ascii="Cambria Math" w:hAnsi="Cambria Math" w:cs="Times New Roman"/>
                <w:i/>
                <w:kern w:val="21"/>
                <w:szCs w:val="28"/>
              </w:rPr>
            </m:ctrlPr>
          </m:den>
        </m:f>
      </m:oMath>
      <w:r>
        <w:rPr>
          <w:rFonts w:hint="eastAsia" w:ascii="仿宋" w:hAnsi="仿宋" w:eastAsia="仿宋" w:cs="仿宋"/>
          <w:kern w:val="21"/>
          <w:sz w:val="32"/>
          <w:szCs w:val="32"/>
        </w:rPr>
        <w:t>（</w:t>
      </w:r>
      <w:r>
        <w:rPr>
          <w:rFonts w:hint="eastAsia" w:ascii="仿宋" w:hAnsi="仿宋" w:eastAsia="仿宋" w:cs="仿宋"/>
          <w:kern w:val="21"/>
          <w:sz w:val="32"/>
          <w:szCs w:val="32"/>
          <w:lang w:val="en-US" w:eastAsia="zh-CN"/>
        </w:rPr>
        <w:t>6</w:t>
      </w:r>
      <w:r>
        <w:rPr>
          <w:rFonts w:hint="eastAsia" w:ascii="仿宋" w:hAnsi="仿宋" w:eastAsia="仿宋" w:cs="仿宋"/>
          <w:kern w:val="21"/>
          <w:sz w:val="32"/>
          <w:szCs w:val="32"/>
        </w:rPr>
        <w:t>.4）</w:t>
      </w:r>
    </w:p>
    <w:p>
      <w:pPr>
        <w:topLinePunct/>
        <w:adjustRightInd w:val="0"/>
        <w:ind w:firstLine="560"/>
        <w:rPr>
          <w:rFonts w:hint="eastAsia" w:ascii="仿宋" w:hAnsi="仿宋" w:eastAsia="仿宋" w:cs="仿宋"/>
          <w:kern w:val="21"/>
          <w:sz w:val="32"/>
          <w:szCs w:val="32"/>
        </w:rPr>
      </w:pPr>
      <w:r>
        <w:rPr>
          <w:rFonts w:hint="eastAsia" w:ascii="仿宋" w:hAnsi="仿宋" w:eastAsia="仿宋" w:cs="仿宋"/>
          <w:kern w:val="21"/>
          <w:sz w:val="32"/>
          <w:szCs w:val="32"/>
        </w:rPr>
        <w:t>按照三级指标权重，三级指标得分计算，再次进行归一化处理（0~100），通过信息量权重法向上计算二级指标权重。</w:t>
      </w:r>
    </w:p>
    <w:p>
      <w:pPr>
        <w:topLinePunct/>
        <w:adjustRightInd w:val="0"/>
        <w:ind w:firstLine="560"/>
        <w:rPr>
          <w:rFonts w:hint="eastAsia" w:ascii="仿宋" w:hAnsi="仿宋" w:eastAsia="仿宋" w:cs="仿宋"/>
          <w:kern w:val="21"/>
          <w:sz w:val="32"/>
          <w:szCs w:val="32"/>
        </w:rPr>
      </w:pPr>
      <w:r>
        <w:rPr>
          <w:rFonts w:hint="eastAsia" w:ascii="仿宋" w:hAnsi="仿宋" w:eastAsia="仿宋" w:cs="仿宋"/>
          <w:kern w:val="21"/>
          <w:sz w:val="32"/>
          <w:szCs w:val="32"/>
          <w:lang w:val="en-US" w:eastAsia="zh-CN"/>
        </w:rPr>
        <w:t>b.</w:t>
      </w:r>
      <w:r>
        <w:rPr>
          <w:rFonts w:hint="eastAsia" w:ascii="仿宋" w:hAnsi="仿宋" w:eastAsia="仿宋" w:cs="仿宋"/>
          <w:kern w:val="21"/>
          <w:sz w:val="32"/>
          <w:szCs w:val="32"/>
        </w:rPr>
        <w:t>信息量权重法</w:t>
      </w:r>
    </w:p>
    <w:p>
      <w:pPr>
        <w:topLinePunct/>
        <w:adjustRightInd w:val="0"/>
        <w:ind w:firstLine="560"/>
        <w:rPr>
          <w:rFonts w:hint="eastAsia" w:ascii="仿宋" w:hAnsi="仿宋" w:eastAsia="仿宋" w:cs="仿宋"/>
          <w:kern w:val="21"/>
          <w:sz w:val="32"/>
          <w:szCs w:val="32"/>
        </w:rPr>
      </w:pPr>
      <w:r>
        <w:rPr>
          <w:rFonts w:hint="eastAsia" w:ascii="仿宋" w:hAnsi="仿宋" w:eastAsia="仿宋" w:cs="仿宋"/>
          <w:kern w:val="21"/>
          <w:sz w:val="32"/>
          <w:szCs w:val="32"/>
        </w:rPr>
        <w:t>信息量权重法即将数据差异性视作一种信息，用数据波动程度来衡量指标权重。基于指标数据所包含的信息量来确定指标权重，利用数据的变异系数进行权重赋值，变异系数越大，所赋的权重也越大。本评价运用信息量权重法计算二级指标的客观权重，具体步骤为：</w:t>
      </w:r>
    </w:p>
    <w:p>
      <w:pPr>
        <w:topLinePunct/>
        <w:adjustRightInd w:val="0"/>
        <w:ind w:firstLine="560"/>
        <w:rPr>
          <w:rFonts w:hint="eastAsia" w:ascii="仿宋" w:hAnsi="仿宋" w:eastAsia="仿宋" w:cs="仿宋"/>
          <w:kern w:val="21"/>
          <w:sz w:val="32"/>
          <w:szCs w:val="32"/>
        </w:rPr>
      </w:pPr>
      <w:r>
        <w:rPr>
          <w:rFonts w:hint="eastAsia" w:ascii="仿宋" w:hAnsi="仿宋" w:eastAsia="仿宋" w:cs="仿宋"/>
          <w:kern w:val="21"/>
          <w:sz w:val="32"/>
          <w:szCs w:val="32"/>
        </w:rPr>
        <w:t>①计算每个指标的均值</w:t>
      </w:r>
      <w:r>
        <w:rPr>
          <w:rFonts w:hint="eastAsia" w:ascii="仿宋" w:hAnsi="仿宋" w:eastAsia="仿宋" w:cs="仿宋"/>
          <w:i/>
          <w:iCs/>
          <w:kern w:val="21"/>
          <w:sz w:val="32"/>
          <w:szCs w:val="32"/>
        </w:rPr>
        <w:t>μ</w:t>
      </w:r>
      <w:r>
        <w:rPr>
          <w:rFonts w:hint="eastAsia" w:ascii="仿宋" w:hAnsi="仿宋" w:eastAsia="仿宋" w:cs="仿宋"/>
          <w:i/>
          <w:iCs/>
          <w:kern w:val="21"/>
          <w:sz w:val="32"/>
          <w:szCs w:val="32"/>
          <w:vertAlign w:val="subscript"/>
        </w:rPr>
        <w:t>i</w:t>
      </w:r>
      <w:r>
        <w:rPr>
          <w:rFonts w:hint="eastAsia" w:ascii="仿宋" w:hAnsi="仿宋" w:eastAsia="仿宋" w:cs="仿宋"/>
          <w:kern w:val="21"/>
          <w:sz w:val="32"/>
          <w:szCs w:val="32"/>
        </w:rPr>
        <w:t>和标准差</w:t>
      </w:r>
      <w:r>
        <w:rPr>
          <w:rFonts w:hint="eastAsia" w:ascii="仿宋" w:hAnsi="仿宋" w:eastAsia="仿宋" w:cs="仿宋"/>
          <w:i/>
          <w:iCs/>
          <w:kern w:val="21"/>
          <w:sz w:val="32"/>
          <w:szCs w:val="32"/>
        </w:rPr>
        <w:t>σ</w:t>
      </w:r>
      <w:r>
        <w:rPr>
          <w:rFonts w:hint="eastAsia" w:ascii="仿宋" w:hAnsi="仿宋" w:eastAsia="仿宋" w:cs="仿宋"/>
          <w:i/>
          <w:iCs/>
          <w:kern w:val="21"/>
          <w:sz w:val="32"/>
          <w:szCs w:val="32"/>
          <w:vertAlign w:val="subscript"/>
        </w:rPr>
        <w:t>i</w:t>
      </w:r>
      <w:r>
        <w:rPr>
          <w:rFonts w:hint="eastAsia" w:ascii="仿宋" w:hAnsi="仿宋" w:eastAsia="仿宋" w:cs="仿宋"/>
          <w:kern w:val="21"/>
          <w:sz w:val="32"/>
          <w:szCs w:val="32"/>
        </w:rPr>
        <w:t>，计算变异系数，公式如下：</w:t>
      </w:r>
    </w:p>
    <w:p>
      <w:pPr>
        <w:topLinePunct/>
        <w:adjustRightInd w:val="0"/>
        <w:ind w:firstLine="560"/>
        <w:jc w:val="left"/>
        <w:rPr>
          <w:rFonts w:hint="eastAsia" w:ascii="仿宋" w:hAnsi="仿宋" w:eastAsia="仿宋" w:cs="仿宋"/>
          <w:kern w:val="21"/>
          <w:sz w:val="32"/>
          <w:szCs w:val="32"/>
          <w:vertAlign w:val="subscript"/>
        </w:rPr>
      </w:pPr>
      <m:oMath>
        <m:sSub>
          <m:sSubPr>
            <m:ctrlPr>
              <w:rPr>
                <w:rFonts w:hint="default" w:ascii="Cambria Math" w:hAnsi="Cambria Math" w:cs="Times New Roman"/>
                <w:szCs w:val="28"/>
                <w:shd w:val="clear" w:color="auto" w:fill="FFFFFF"/>
              </w:rPr>
            </m:ctrlPr>
          </m:sSubPr>
          <m:e>
            <m:r>
              <m:rPr/>
              <w:rPr>
                <w:rFonts w:hint="default" w:ascii="Cambria Math" w:hAnsi="Cambria Math" w:cs="Times New Roman"/>
                <w:szCs w:val="28"/>
                <w:shd w:val="clear" w:color="auto" w:fill="FFFFFF"/>
              </w:rPr>
              <m:t>CV</m:t>
            </m:r>
            <m:ctrlPr>
              <w:rPr>
                <w:rFonts w:hint="default" w:ascii="Cambria Math" w:hAnsi="Cambria Math" w:cs="Times New Roman"/>
                <w:szCs w:val="28"/>
                <w:shd w:val="clear" w:color="auto" w:fill="FFFFFF"/>
              </w:rPr>
            </m:ctrlPr>
          </m:e>
          <m:sub>
            <m:r>
              <m:rPr/>
              <w:rPr>
                <w:rFonts w:hint="default" w:ascii="Cambria Math" w:hAnsi="Cambria Math" w:cs="Times New Roman"/>
                <w:szCs w:val="28"/>
                <w:shd w:val="clear" w:color="auto" w:fill="FFFFFF"/>
              </w:rPr>
              <m:t>i</m:t>
            </m:r>
            <m:ctrlPr>
              <w:rPr>
                <w:rFonts w:hint="default" w:ascii="Cambria Math" w:hAnsi="Cambria Math" w:cs="Times New Roman"/>
                <w:szCs w:val="28"/>
                <w:shd w:val="clear" w:color="auto" w:fill="FFFFFF"/>
              </w:rPr>
            </m:ctrlPr>
          </m:sub>
        </m:sSub>
        <m:r>
          <m:rPr>
            <m:sty m:val="p"/>
          </m:rPr>
          <w:rPr>
            <w:rFonts w:hint="default" w:ascii="Cambria Math" w:hAnsi="Cambria Math" w:cs="Times New Roman"/>
            <w:szCs w:val="28"/>
            <w:shd w:val="clear" w:color="auto" w:fill="FFFFFF"/>
          </w:rPr>
          <m:t>=</m:t>
        </m:r>
        <m:f>
          <m:fPr>
            <m:ctrlPr>
              <w:rPr>
                <w:rFonts w:hint="default" w:ascii="Cambria Math" w:hAnsi="Cambria Math" w:cs="Times New Roman"/>
                <w:szCs w:val="28"/>
                <w:shd w:val="clear" w:color="auto" w:fill="FFFFFF"/>
              </w:rPr>
            </m:ctrlPr>
          </m:fPr>
          <m:num>
            <m:sSub>
              <m:sSubPr>
                <m:ctrlPr>
                  <w:rPr>
                    <w:rFonts w:hint="default" w:ascii="Cambria Math" w:hAnsi="Cambria Math" w:cs="Times New Roman"/>
                    <w:szCs w:val="28"/>
                    <w:shd w:val="clear" w:color="auto" w:fill="FFFFFF"/>
                  </w:rPr>
                </m:ctrlPr>
              </m:sSubPr>
              <m:e>
                <m:r>
                  <m:rPr/>
                  <w:rPr>
                    <w:rFonts w:hint="default" w:ascii="Cambria Math" w:hAnsi="Cambria Math" w:cs="Times New Roman"/>
                    <w:szCs w:val="28"/>
                    <w:shd w:val="clear" w:color="auto" w:fill="FFFFFF"/>
                  </w:rPr>
                  <m:t>σ</m:t>
                </m:r>
                <m:ctrlPr>
                  <w:rPr>
                    <w:rFonts w:hint="default" w:ascii="Cambria Math" w:hAnsi="Cambria Math" w:cs="Times New Roman"/>
                    <w:szCs w:val="28"/>
                    <w:shd w:val="clear" w:color="auto" w:fill="FFFFFF"/>
                  </w:rPr>
                </m:ctrlPr>
              </m:e>
              <m:sub>
                <m:r>
                  <m:rPr/>
                  <w:rPr>
                    <w:rFonts w:hint="default" w:ascii="Cambria Math" w:hAnsi="Cambria Math" w:cs="Times New Roman"/>
                    <w:szCs w:val="28"/>
                    <w:shd w:val="clear" w:color="auto" w:fill="FFFFFF"/>
                  </w:rPr>
                  <m:t>i</m:t>
                </m:r>
                <m:ctrlPr>
                  <w:rPr>
                    <w:rFonts w:hint="default" w:ascii="Cambria Math" w:hAnsi="Cambria Math" w:cs="Times New Roman"/>
                    <w:szCs w:val="28"/>
                    <w:shd w:val="clear" w:color="auto" w:fill="FFFFFF"/>
                  </w:rPr>
                </m:ctrlPr>
              </m:sub>
            </m:sSub>
            <m:ctrlPr>
              <w:rPr>
                <w:rFonts w:hint="default" w:ascii="Cambria Math" w:hAnsi="Cambria Math" w:cs="Times New Roman"/>
                <w:szCs w:val="28"/>
                <w:shd w:val="clear" w:color="auto" w:fill="FFFFFF"/>
              </w:rPr>
            </m:ctrlPr>
          </m:num>
          <m:den>
            <m:sSub>
              <m:sSubPr>
                <m:ctrlPr>
                  <w:rPr>
                    <w:rFonts w:hint="default" w:ascii="Cambria Math" w:hAnsi="Cambria Math" w:cs="Times New Roman"/>
                    <w:szCs w:val="28"/>
                    <w:shd w:val="clear" w:color="auto" w:fill="FFFFFF"/>
                  </w:rPr>
                </m:ctrlPr>
              </m:sSubPr>
              <m:e>
                <m:r>
                  <m:rPr/>
                  <w:rPr>
                    <w:rFonts w:hint="default" w:ascii="Cambria Math" w:hAnsi="Cambria Math" w:cs="Times New Roman"/>
                    <w:szCs w:val="28"/>
                    <w:shd w:val="clear" w:color="auto" w:fill="FFFFFF"/>
                  </w:rPr>
                  <m:t>μ</m:t>
                </m:r>
                <m:ctrlPr>
                  <w:rPr>
                    <w:rFonts w:hint="default" w:ascii="Cambria Math" w:hAnsi="Cambria Math" w:cs="Times New Roman"/>
                    <w:szCs w:val="28"/>
                    <w:shd w:val="clear" w:color="auto" w:fill="FFFFFF"/>
                  </w:rPr>
                </m:ctrlPr>
              </m:e>
              <m:sub>
                <m:r>
                  <m:rPr/>
                  <w:rPr>
                    <w:rFonts w:hint="default" w:ascii="Cambria Math" w:hAnsi="Cambria Math" w:cs="Times New Roman"/>
                    <w:szCs w:val="28"/>
                    <w:shd w:val="clear" w:color="auto" w:fill="FFFFFF"/>
                  </w:rPr>
                  <m:t>i</m:t>
                </m:r>
                <m:ctrlPr>
                  <w:rPr>
                    <w:rFonts w:hint="default" w:ascii="Cambria Math" w:hAnsi="Cambria Math" w:cs="Times New Roman"/>
                    <w:szCs w:val="28"/>
                    <w:shd w:val="clear" w:color="auto" w:fill="FFFFFF"/>
                  </w:rPr>
                </m:ctrlPr>
              </m:sub>
            </m:sSub>
            <m:ctrlPr>
              <w:rPr>
                <w:rFonts w:hint="default" w:ascii="Cambria Math" w:hAnsi="Cambria Math" w:cs="Times New Roman"/>
                <w:szCs w:val="28"/>
                <w:shd w:val="clear" w:color="auto" w:fill="FFFFFF"/>
              </w:rPr>
            </m:ctrlPr>
          </m:den>
        </m:f>
      </m:oMath>
      <w:r>
        <w:rPr>
          <w:rFonts w:hint="eastAsia" w:ascii="仿宋" w:hAnsi="仿宋" w:eastAsia="仿宋" w:cs="仿宋"/>
          <w:kern w:val="21"/>
          <w:sz w:val="32"/>
          <w:szCs w:val="32"/>
        </w:rPr>
        <w:t>（</w:t>
      </w:r>
      <w:r>
        <w:rPr>
          <w:rFonts w:hint="eastAsia" w:ascii="仿宋" w:hAnsi="仿宋" w:eastAsia="仿宋" w:cs="仿宋"/>
          <w:kern w:val="21"/>
          <w:sz w:val="32"/>
          <w:szCs w:val="32"/>
          <w:lang w:val="en-US" w:eastAsia="zh-CN"/>
        </w:rPr>
        <w:t>5</w:t>
      </w:r>
      <w:r>
        <w:rPr>
          <w:rFonts w:hint="eastAsia" w:ascii="仿宋" w:hAnsi="仿宋" w:eastAsia="仿宋" w:cs="仿宋"/>
          <w:kern w:val="21"/>
          <w:sz w:val="32"/>
          <w:szCs w:val="32"/>
        </w:rPr>
        <w:t>.5）</w:t>
      </w:r>
    </w:p>
    <w:p>
      <w:pPr>
        <w:widowControl/>
        <w:adjustRightInd w:val="0"/>
        <w:snapToGrid w:val="0"/>
        <w:ind w:firstLine="56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②计算权重公式如下：</w:t>
      </w:r>
    </w:p>
    <w:p>
      <w:pPr>
        <w:widowControl/>
        <w:adjustRightInd w:val="0"/>
        <w:snapToGrid w:val="0"/>
        <w:ind w:left="585" w:firstLine="560"/>
        <w:jc w:val="left"/>
        <w:rPr>
          <w:rFonts w:hint="eastAsia" w:ascii="仿宋" w:hAnsi="仿宋" w:eastAsia="仿宋" w:cs="仿宋"/>
          <w:sz w:val="32"/>
          <w:szCs w:val="32"/>
          <w:shd w:val="clear" w:color="auto" w:fill="FFFFFF"/>
        </w:rPr>
      </w:pPr>
      <m:oMath>
        <m:sSub>
          <m:sSubPr>
            <m:ctrlPr>
              <w:rPr>
                <w:rFonts w:hint="default" w:ascii="Cambria Math" w:hAnsi="Cambria Math" w:cs="Times New Roman"/>
                <w:szCs w:val="28"/>
                <w:shd w:val="clear" w:color="auto" w:fill="FFFFFF"/>
              </w:rPr>
            </m:ctrlPr>
          </m:sSubPr>
          <m:e>
            <m:r>
              <m:rPr/>
              <w:rPr>
                <w:rFonts w:hint="default" w:ascii="Cambria Math" w:hAnsi="Cambria Math" w:cs="Times New Roman"/>
                <w:szCs w:val="28"/>
                <w:shd w:val="clear" w:color="auto" w:fill="FFFFFF"/>
              </w:rPr>
              <m:t>w</m:t>
            </m:r>
            <m:ctrlPr>
              <w:rPr>
                <w:rFonts w:hint="default" w:ascii="Cambria Math" w:hAnsi="Cambria Math" w:cs="Times New Roman"/>
                <w:szCs w:val="28"/>
                <w:shd w:val="clear" w:color="auto" w:fill="FFFFFF"/>
              </w:rPr>
            </m:ctrlPr>
          </m:e>
          <m:sub>
            <m:r>
              <m:rPr/>
              <w:rPr>
                <w:rFonts w:hint="default" w:ascii="Cambria Math" w:hAnsi="Cambria Math" w:cs="Times New Roman"/>
                <w:szCs w:val="28"/>
                <w:shd w:val="clear" w:color="auto" w:fill="FFFFFF"/>
              </w:rPr>
              <m:t>i</m:t>
            </m:r>
            <m:ctrlPr>
              <w:rPr>
                <w:rFonts w:hint="default" w:ascii="Cambria Math" w:hAnsi="Cambria Math" w:cs="Times New Roman"/>
                <w:szCs w:val="28"/>
                <w:shd w:val="clear" w:color="auto" w:fill="FFFFFF"/>
              </w:rPr>
            </m:ctrlPr>
          </m:sub>
        </m:sSub>
        <m:r>
          <m:rPr>
            <m:sty m:val="p"/>
          </m:rPr>
          <w:rPr>
            <w:rFonts w:hint="default" w:ascii="Cambria Math" w:hAnsi="Cambria Math" w:cs="Times New Roman"/>
            <w:szCs w:val="28"/>
            <w:shd w:val="clear" w:color="auto" w:fill="FFFFFF"/>
          </w:rPr>
          <m:t>=</m:t>
        </m:r>
        <m:f>
          <m:fPr>
            <m:ctrlPr>
              <w:rPr>
                <w:rFonts w:hint="default" w:ascii="Cambria Math" w:hAnsi="Cambria Math" w:cs="Times New Roman"/>
                <w:szCs w:val="28"/>
                <w:shd w:val="clear" w:color="auto" w:fill="FFFFFF"/>
              </w:rPr>
            </m:ctrlPr>
          </m:fPr>
          <m:num>
            <m:sSub>
              <m:sSubPr>
                <m:ctrlPr>
                  <w:rPr>
                    <w:rFonts w:hint="default" w:ascii="Cambria Math" w:hAnsi="Cambria Math" w:cs="Times New Roman"/>
                    <w:szCs w:val="28"/>
                    <w:shd w:val="clear" w:color="auto" w:fill="FFFFFF"/>
                  </w:rPr>
                </m:ctrlPr>
              </m:sSubPr>
              <m:e>
                <m:r>
                  <m:rPr/>
                  <w:rPr>
                    <w:rFonts w:hint="default" w:ascii="Cambria Math" w:hAnsi="Cambria Math" w:cs="Times New Roman"/>
                    <w:szCs w:val="28"/>
                    <w:shd w:val="clear" w:color="auto" w:fill="FFFFFF"/>
                  </w:rPr>
                  <m:t>CV</m:t>
                </m:r>
                <m:ctrlPr>
                  <w:rPr>
                    <w:rFonts w:hint="default" w:ascii="Cambria Math" w:hAnsi="Cambria Math" w:cs="Times New Roman"/>
                    <w:szCs w:val="28"/>
                    <w:shd w:val="clear" w:color="auto" w:fill="FFFFFF"/>
                  </w:rPr>
                </m:ctrlPr>
              </m:e>
              <m:sub>
                <m:r>
                  <m:rPr/>
                  <w:rPr>
                    <w:rFonts w:hint="default" w:ascii="Cambria Math" w:hAnsi="Cambria Math" w:cs="Times New Roman"/>
                    <w:szCs w:val="28"/>
                    <w:shd w:val="clear" w:color="auto" w:fill="FFFFFF"/>
                  </w:rPr>
                  <m:t>i</m:t>
                </m:r>
                <m:ctrlPr>
                  <w:rPr>
                    <w:rFonts w:hint="default" w:ascii="Cambria Math" w:hAnsi="Cambria Math" w:cs="Times New Roman"/>
                    <w:szCs w:val="28"/>
                    <w:shd w:val="clear" w:color="auto" w:fill="FFFFFF"/>
                  </w:rPr>
                </m:ctrlPr>
              </m:sub>
            </m:sSub>
            <m:ctrlPr>
              <w:rPr>
                <w:rFonts w:hint="default" w:ascii="Cambria Math" w:hAnsi="Cambria Math" w:cs="Times New Roman"/>
                <w:szCs w:val="28"/>
                <w:shd w:val="clear" w:color="auto" w:fill="FFFFFF"/>
              </w:rPr>
            </m:ctrlPr>
          </m:num>
          <m:den>
            <m:nary>
              <m:naryPr>
                <m:chr m:val="∑"/>
                <m:limLoc m:val="undOvr"/>
                <m:ctrlPr>
                  <w:rPr>
                    <w:rFonts w:hint="default" w:ascii="Cambria Math" w:hAnsi="Cambria Math" w:cs="Times New Roman"/>
                    <w:szCs w:val="28"/>
                    <w:shd w:val="clear" w:color="auto" w:fill="FFFFFF"/>
                  </w:rPr>
                </m:ctrlPr>
              </m:naryPr>
              <m:sub>
                <m:r>
                  <m:rPr>
                    <m:sty m:val="p"/>
                  </m:rPr>
                  <w:rPr>
                    <w:rFonts w:hint="default" w:ascii="Cambria Math" w:hAnsi="Cambria Math" w:cs="Times New Roman"/>
                    <w:szCs w:val="28"/>
                    <w:shd w:val="clear" w:color="auto" w:fill="FFFFFF"/>
                  </w:rPr>
                  <m:t>1</m:t>
                </m:r>
                <m:ctrlPr>
                  <w:rPr>
                    <w:rFonts w:hint="default" w:ascii="Cambria Math" w:hAnsi="Cambria Math" w:cs="Times New Roman"/>
                    <w:szCs w:val="28"/>
                    <w:shd w:val="clear" w:color="auto" w:fill="FFFFFF"/>
                  </w:rPr>
                </m:ctrlPr>
              </m:sub>
              <m:sup>
                <m:r>
                  <m:rPr/>
                  <w:rPr>
                    <w:rFonts w:hint="default" w:ascii="Cambria Math" w:hAnsi="Cambria Math" w:cs="Times New Roman"/>
                    <w:szCs w:val="28"/>
                    <w:shd w:val="clear" w:color="auto" w:fill="FFFFFF"/>
                  </w:rPr>
                  <m:t>m</m:t>
                </m:r>
                <m:ctrlPr>
                  <w:rPr>
                    <w:rFonts w:hint="default" w:ascii="Cambria Math" w:hAnsi="Cambria Math" w:cs="Times New Roman"/>
                    <w:szCs w:val="28"/>
                    <w:shd w:val="clear" w:color="auto" w:fill="FFFFFF"/>
                  </w:rPr>
                </m:ctrlPr>
              </m:sup>
              <m:e>
                <m:sSub>
                  <m:sSubPr>
                    <m:ctrlPr>
                      <w:rPr>
                        <w:rFonts w:hint="default" w:ascii="Cambria Math" w:hAnsi="Cambria Math" w:cs="Times New Roman"/>
                        <w:szCs w:val="28"/>
                        <w:shd w:val="clear" w:color="auto" w:fill="FFFFFF"/>
                      </w:rPr>
                    </m:ctrlPr>
                  </m:sSubPr>
                  <m:e>
                    <m:r>
                      <m:rPr/>
                      <w:rPr>
                        <w:rFonts w:hint="default" w:ascii="Cambria Math" w:hAnsi="Cambria Math" w:cs="Times New Roman"/>
                        <w:szCs w:val="28"/>
                        <w:shd w:val="clear" w:color="auto" w:fill="FFFFFF"/>
                      </w:rPr>
                      <m:t>CV</m:t>
                    </m:r>
                    <m:ctrlPr>
                      <w:rPr>
                        <w:rFonts w:hint="default" w:ascii="Cambria Math" w:hAnsi="Cambria Math" w:cs="Times New Roman"/>
                        <w:szCs w:val="28"/>
                        <w:shd w:val="clear" w:color="auto" w:fill="FFFFFF"/>
                      </w:rPr>
                    </m:ctrlPr>
                  </m:e>
                  <m:sub>
                    <m:r>
                      <m:rPr/>
                      <w:rPr>
                        <w:rFonts w:hint="default" w:ascii="Cambria Math" w:hAnsi="Cambria Math" w:cs="Times New Roman"/>
                        <w:szCs w:val="28"/>
                        <w:shd w:val="clear" w:color="auto" w:fill="FFFFFF"/>
                      </w:rPr>
                      <m:t>i</m:t>
                    </m:r>
                    <m:ctrlPr>
                      <w:rPr>
                        <w:rFonts w:hint="default" w:ascii="Cambria Math" w:hAnsi="Cambria Math" w:cs="Times New Roman"/>
                        <w:szCs w:val="28"/>
                        <w:shd w:val="clear" w:color="auto" w:fill="FFFFFF"/>
                      </w:rPr>
                    </m:ctrlPr>
                  </m:sub>
                </m:sSub>
                <m:ctrlPr>
                  <w:rPr>
                    <w:rFonts w:hint="default" w:ascii="Cambria Math" w:hAnsi="Cambria Math" w:cs="Times New Roman"/>
                    <w:szCs w:val="28"/>
                    <w:shd w:val="clear" w:color="auto" w:fill="FFFFFF"/>
                  </w:rPr>
                </m:ctrlPr>
              </m:e>
            </m:nary>
            <m:ctrlPr>
              <w:rPr>
                <w:rFonts w:hint="default" w:ascii="Cambria Math" w:hAnsi="Cambria Math" w:cs="Times New Roman"/>
                <w:szCs w:val="28"/>
                <w:shd w:val="clear" w:color="auto" w:fill="FFFFFF"/>
              </w:rPr>
            </m:ctrlPr>
          </m:den>
        </m:f>
      </m:oMath>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.6）</w:t>
      </w:r>
    </w:p>
    <w:p>
      <w:pPr>
        <w:topLinePunct/>
        <w:adjustRightInd w:val="0"/>
        <w:ind w:firstLine="560"/>
        <w:rPr>
          <w:rFonts w:hint="eastAsia" w:ascii="仿宋" w:hAnsi="仿宋" w:eastAsia="仿宋" w:cs="仿宋"/>
          <w:kern w:val="21"/>
          <w:sz w:val="32"/>
          <w:szCs w:val="32"/>
        </w:rPr>
      </w:pPr>
      <w:r>
        <w:rPr>
          <w:rFonts w:hint="eastAsia" w:ascii="仿宋" w:hAnsi="仿宋" w:eastAsia="仿宋" w:cs="仿宋"/>
          <w:kern w:val="21"/>
          <w:sz w:val="32"/>
          <w:szCs w:val="32"/>
          <w:lang w:val="en-US" w:eastAsia="zh-CN"/>
        </w:rPr>
        <w:t>c.</w:t>
      </w:r>
      <w:r>
        <w:rPr>
          <w:rFonts w:hint="eastAsia" w:ascii="仿宋" w:hAnsi="仿宋" w:eastAsia="仿宋" w:cs="仿宋"/>
          <w:kern w:val="21"/>
          <w:sz w:val="32"/>
          <w:szCs w:val="32"/>
        </w:rPr>
        <w:t>专家评分法</w:t>
      </w:r>
    </w:p>
    <w:p>
      <w:pPr>
        <w:topLinePunct/>
        <w:adjustRightInd w:val="0"/>
        <w:ind w:firstLine="547" w:firstLineChars="171"/>
        <w:rPr>
          <w:rFonts w:hint="eastAsia" w:ascii="仿宋" w:hAnsi="仿宋" w:eastAsia="仿宋" w:cs="仿宋"/>
          <w:kern w:val="21"/>
          <w:sz w:val="32"/>
          <w:szCs w:val="32"/>
        </w:rPr>
      </w:pPr>
      <w:r>
        <w:rPr>
          <w:rFonts w:hint="eastAsia" w:ascii="仿宋" w:hAnsi="仿宋" w:eastAsia="仿宋" w:cs="仿宋"/>
          <w:kern w:val="21"/>
          <w:sz w:val="32"/>
          <w:szCs w:val="32"/>
        </w:rPr>
        <w:t>本评价通过评价目的拟定调查表，按照既定程序，分别向专家组成员进行征询，专家组成员以匿名的方式提交意见，经过反复征询和反馈后，最后获得具有较高准确率的集体判断结果。结合专家打分权重和客观计算权重得出最终的指标权重。</w:t>
      </w:r>
    </w:p>
    <w:p>
      <w:pPr>
        <w:ind w:firstLine="5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评价指标分区权重</w:t>
      </w:r>
    </w:p>
    <w:p>
      <w:pPr>
        <w:pStyle w:val="27"/>
        <w:rPr>
          <w:rFonts w:hint="eastAsia" w:ascii="仿宋" w:hAnsi="仿宋" w:eastAsia="仿宋" w:cs="仿宋"/>
          <w:b/>
          <w:bCs/>
          <w:sz w:val="32"/>
          <w:szCs w:val="32"/>
        </w:rPr>
      </w:pPr>
      <w:r>
        <w:rPr>
          <w:rFonts w:hint="eastAsia" w:ascii="仿宋" w:hAnsi="仿宋" w:eastAsia="仿宋" w:cs="仿宋"/>
          <w:b/>
          <w:bCs/>
          <w:sz w:val="32"/>
          <w:szCs w:val="32"/>
        </w:rPr>
        <w:t>表</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生态环境质量综合</w:t>
      </w:r>
      <w:r>
        <w:rPr>
          <w:rFonts w:hint="eastAsia" w:ascii="仿宋" w:hAnsi="仿宋" w:eastAsia="仿宋" w:cs="仿宋"/>
          <w:b/>
          <w:bCs/>
          <w:sz w:val="32"/>
          <w:szCs w:val="32"/>
          <w:lang w:val="en-US" w:eastAsia="zh-CN"/>
        </w:rPr>
        <w:t>指数各指标</w:t>
      </w:r>
      <w:r>
        <w:rPr>
          <w:rFonts w:hint="eastAsia" w:ascii="仿宋" w:hAnsi="仿宋" w:eastAsia="仿宋" w:cs="仿宋"/>
          <w:b/>
          <w:bCs/>
          <w:sz w:val="32"/>
          <w:szCs w:val="32"/>
        </w:rPr>
        <w:t>权重</w:t>
      </w:r>
    </w:p>
    <w:tbl>
      <w:tblPr>
        <w:tblStyle w:val="15"/>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308"/>
        <w:gridCol w:w="950"/>
        <w:gridCol w:w="1602"/>
        <w:gridCol w:w="965"/>
        <w:gridCol w:w="4540"/>
        <w:gridCol w:w="12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2" w:hRule="exact"/>
          <w:tblHeader/>
          <w:jc w:val="center"/>
        </w:trPr>
        <w:tc>
          <w:tcPr>
            <w:tcW w:w="618" w:type="pct"/>
            <w:shd w:val="clear" w:color="auto" w:fill="FFFFFF" w:themeFill="background1"/>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一级指标</w:t>
            </w:r>
          </w:p>
        </w:tc>
        <w:tc>
          <w:tcPr>
            <w:tcW w:w="449" w:type="pct"/>
            <w:shd w:val="clear" w:color="auto" w:fill="FFFFFF" w:themeFill="background1"/>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一级指标权重</w:t>
            </w:r>
          </w:p>
        </w:tc>
        <w:tc>
          <w:tcPr>
            <w:tcW w:w="757" w:type="pct"/>
            <w:shd w:val="clear" w:color="auto" w:fill="FFFFFF" w:themeFill="background1"/>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二级指标</w:t>
            </w:r>
          </w:p>
        </w:tc>
        <w:tc>
          <w:tcPr>
            <w:tcW w:w="456" w:type="pct"/>
            <w:shd w:val="clear" w:color="auto" w:fill="FFFFFF" w:themeFill="background1"/>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二级指标权重</w:t>
            </w:r>
          </w:p>
        </w:tc>
        <w:tc>
          <w:tcPr>
            <w:tcW w:w="2145" w:type="pct"/>
            <w:shd w:val="clear" w:color="auto" w:fill="FFFFFF" w:themeFill="background1"/>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三级指标</w:t>
            </w:r>
          </w:p>
        </w:tc>
        <w:tc>
          <w:tcPr>
            <w:tcW w:w="572" w:type="pct"/>
            <w:shd w:val="clear" w:color="auto" w:fill="FFFFFF" w:themeFill="background1"/>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三级指标</w:t>
            </w:r>
          </w:p>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权重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888" w:hRule="exact"/>
          <w:jc w:val="center"/>
        </w:trPr>
        <w:tc>
          <w:tcPr>
            <w:tcW w:w="618" w:type="pct"/>
            <w:shd w:val="clear" w:color="auto" w:fill="auto"/>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生态</w:t>
            </w:r>
            <w:r>
              <w:rPr>
                <w:rFonts w:hint="eastAsia" w:ascii="仿宋" w:hAnsi="仿宋" w:eastAsia="仿宋" w:cs="仿宋"/>
                <w:color w:val="auto"/>
                <w:sz w:val="21"/>
                <w:szCs w:val="21"/>
                <w:lang w:val="en-US" w:eastAsia="zh-CN"/>
              </w:rPr>
              <w:t>质量水平</w:t>
            </w:r>
          </w:p>
        </w:tc>
        <w:tc>
          <w:tcPr>
            <w:tcW w:w="449" w:type="pct"/>
            <w:shd w:val="clear" w:color="auto" w:fill="auto"/>
            <w:vAlign w:val="center"/>
          </w:tcPr>
          <w:p>
            <w:pPr>
              <w:pStyle w:val="27"/>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0.15</w:t>
            </w:r>
          </w:p>
        </w:tc>
        <w:tc>
          <w:tcPr>
            <w:tcW w:w="757" w:type="pct"/>
            <w:shd w:val="clear" w:color="auto" w:fill="auto"/>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生态质量指数（EQI）</w:t>
            </w:r>
          </w:p>
        </w:tc>
        <w:tc>
          <w:tcPr>
            <w:tcW w:w="456" w:type="pct"/>
            <w:shd w:val="clear" w:color="auto" w:fill="auto"/>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2145" w:type="pct"/>
            <w:shd w:val="clear" w:color="auto" w:fill="auto"/>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w:t>
            </w:r>
          </w:p>
        </w:tc>
        <w:tc>
          <w:tcPr>
            <w:tcW w:w="572" w:type="pct"/>
            <w:vAlign w:val="center"/>
          </w:tcPr>
          <w:p>
            <w:pPr>
              <w:pStyle w:val="27"/>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18" w:type="pct"/>
            <w:vMerge w:val="restart"/>
            <w:shd w:val="clear" w:color="auto" w:fill="auto"/>
            <w:vAlign w:val="center"/>
          </w:tcPr>
          <w:p>
            <w:pPr>
              <w:pStyle w:val="27"/>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环境质量水平</w:t>
            </w:r>
          </w:p>
        </w:tc>
        <w:tc>
          <w:tcPr>
            <w:tcW w:w="449" w:type="pct"/>
            <w:vMerge w:val="restart"/>
            <w:shd w:val="clear" w:color="auto" w:fill="auto"/>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0.6</w:t>
            </w:r>
          </w:p>
        </w:tc>
        <w:tc>
          <w:tcPr>
            <w:tcW w:w="757" w:type="pct"/>
            <w:vMerge w:val="restart"/>
            <w:shd w:val="clear" w:color="auto" w:fill="auto"/>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环境空气</w:t>
            </w:r>
            <w:r>
              <w:rPr>
                <w:rFonts w:hint="eastAsia" w:ascii="仿宋" w:hAnsi="仿宋" w:eastAsia="仿宋" w:cs="仿宋"/>
                <w:color w:val="auto"/>
                <w:sz w:val="21"/>
                <w:szCs w:val="21"/>
                <w:lang w:eastAsia="zh-CN"/>
              </w:rPr>
              <w:t>质量</w:t>
            </w:r>
          </w:p>
        </w:tc>
        <w:tc>
          <w:tcPr>
            <w:tcW w:w="456" w:type="pct"/>
            <w:vMerge w:val="restart"/>
            <w:shd w:val="clear" w:color="auto" w:fill="auto"/>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0.25</w:t>
            </w:r>
          </w:p>
        </w:tc>
        <w:tc>
          <w:tcPr>
            <w:tcW w:w="2145" w:type="pct"/>
            <w:shd w:val="clear" w:color="auto" w:fill="auto"/>
            <w:vAlign w:val="center"/>
          </w:tcPr>
          <w:p>
            <w:pPr>
              <w:pStyle w:val="27"/>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空气质量综合指数</w:t>
            </w:r>
          </w:p>
        </w:tc>
        <w:tc>
          <w:tcPr>
            <w:tcW w:w="572"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757"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56"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2145" w:type="pct"/>
            <w:shd w:val="clear" w:color="auto" w:fill="auto"/>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PM</w:t>
            </w:r>
            <w:r>
              <w:rPr>
                <w:rFonts w:hint="eastAsia" w:ascii="仿宋" w:hAnsi="仿宋" w:eastAsia="仿宋" w:cs="仿宋"/>
                <w:color w:val="auto"/>
                <w:sz w:val="21"/>
                <w:szCs w:val="21"/>
                <w:vertAlign w:val="subscript"/>
              </w:rPr>
              <w:t>2.5</w:t>
            </w:r>
            <w:r>
              <w:rPr>
                <w:rFonts w:hint="eastAsia" w:ascii="仿宋" w:hAnsi="仿宋" w:eastAsia="仿宋" w:cs="仿宋"/>
                <w:color w:val="auto"/>
                <w:sz w:val="21"/>
                <w:szCs w:val="21"/>
              </w:rPr>
              <w:t>浓度</w:t>
            </w:r>
          </w:p>
        </w:tc>
        <w:tc>
          <w:tcPr>
            <w:tcW w:w="572"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757"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56"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2145" w:type="pct"/>
            <w:shd w:val="clear" w:color="auto" w:fill="auto"/>
            <w:vAlign w:val="center"/>
          </w:tcPr>
          <w:p>
            <w:pPr>
              <w:pStyle w:val="27"/>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O</w:t>
            </w:r>
            <w:r>
              <w:rPr>
                <w:rFonts w:hint="eastAsia" w:ascii="仿宋" w:hAnsi="仿宋" w:eastAsia="仿宋" w:cs="仿宋"/>
                <w:color w:val="auto"/>
                <w:kern w:val="2"/>
                <w:sz w:val="21"/>
                <w:szCs w:val="21"/>
                <w:vertAlign w:val="subscript"/>
                <w:lang w:val="en-US" w:eastAsia="zh-CN" w:bidi="ar-SA"/>
              </w:rPr>
              <w:t>3</w:t>
            </w:r>
            <w:r>
              <w:rPr>
                <w:rFonts w:hint="eastAsia" w:ascii="仿宋" w:hAnsi="仿宋" w:eastAsia="仿宋" w:cs="仿宋"/>
                <w:color w:val="auto"/>
                <w:kern w:val="2"/>
                <w:sz w:val="21"/>
                <w:szCs w:val="21"/>
                <w:lang w:val="en-US" w:eastAsia="zh-CN" w:bidi="ar-SA"/>
              </w:rPr>
              <w:t>浓度</w:t>
            </w:r>
          </w:p>
        </w:tc>
        <w:tc>
          <w:tcPr>
            <w:tcW w:w="572"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757"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56"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2145" w:type="pct"/>
            <w:shd w:val="clear" w:color="auto" w:fill="auto"/>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环境空气优良天数比例</w:t>
            </w:r>
          </w:p>
        </w:tc>
        <w:tc>
          <w:tcPr>
            <w:tcW w:w="572"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757"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56"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2145" w:type="pct"/>
            <w:shd w:val="clear" w:color="auto" w:fill="auto"/>
            <w:vAlign w:val="center"/>
          </w:tcPr>
          <w:p>
            <w:pPr>
              <w:pStyle w:val="27"/>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重度</w:t>
            </w:r>
            <w:r>
              <w:rPr>
                <w:rFonts w:hint="eastAsia" w:ascii="仿宋" w:hAnsi="仿宋" w:eastAsia="仿宋" w:cs="仿宋"/>
                <w:color w:val="auto"/>
                <w:sz w:val="21"/>
                <w:szCs w:val="21"/>
              </w:rPr>
              <w:t>污染天数比例</w:t>
            </w:r>
          </w:p>
        </w:tc>
        <w:tc>
          <w:tcPr>
            <w:tcW w:w="572"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757" w:type="pct"/>
            <w:vMerge w:val="restart"/>
            <w:shd w:val="clear" w:color="auto" w:fill="auto"/>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水环境</w:t>
            </w:r>
            <w:r>
              <w:rPr>
                <w:rFonts w:hint="eastAsia" w:ascii="仿宋" w:hAnsi="仿宋" w:eastAsia="仿宋" w:cs="仿宋"/>
                <w:color w:val="auto"/>
                <w:sz w:val="21"/>
                <w:szCs w:val="21"/>
                <w:lang w:eastAsia="zh-CN"/>
              </w:rPr>
              <w:t>质量</w:t>
            </w:r>
          </w:p>
        </w:tc>
        <w:tc>
          <w:tcPr>
            <w:tcW w:w="456" w:type="pct"/>
            <w:vMerge w:val="restart"/>
            <w:shd w:val="clear" w:color="auto" w:fill="auto"/>
            <w:vAlign w:val="center"/>
          </w:tcPr>
          <w:p>
            <w:pPr>
              <w:pStyle w:val="27"/>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0.25</w:t>
            </w:r>
          </w:p>
        </w:tc>
        <w:tc>
          <w:tcPr>
            <w:tcW w:w="2145" w:type="pct"/>
            <w:shd w:val="clear" w:color="auto" w:fill="auto"/>
            <w:vAlign w:val="center"/>
          </w:tcPr>
          <w:p>
            <w:pPr>
              <w:pStyle w:val="27"/>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城市水质指数</w:t>
            </w:r>
          </w:p>
        </w:tc>
        <w:tc>
          <w:tcPr>
            <w:tcW w:w="572"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06" w:hRule="exac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lang w:val="en-US" w:eastAsia="zh-CN"/>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lang w:val="en-US" w:eastAsia="zh-CN"/>
              </w:rPr>
            </w:pPr>
          </w:p>
        </w:tc>
        <w:tc>
          <w:tcPr>
            <w:tcW w:w="757" w:type="pct"/>
            <w:vMerge w:val="continue"/>
            <w:shd w:val="clear" w:color="auto" w:fill="auto"/>
            <w:vAlign w:val="center"/>
          </w:tcPr>
          <w:p>
            <w:pPr>
              <w:pStyle w:val="27"/>
              <w:jc w:val="center"/>
              <w:rPr>
                <w:rFonts w:hint="eastAsia" w:ascii="仿宋" w:hAnsi="仿宋" w:eastAsia="仿宋" w:cs="仿宋"/>
                <w:color w:val="auto"/>
                <w:sz w:val="21"/>
                <w:szCs w:val="21"/>
                <w:lang w:val="en-US" w:eastAsia="zh-CN"/>
              </w:rPr>
            </w:pPr>
          </w:p>
        </w:tc>
        <w:tc>
          <w:tcPr>
            <w:tcW w:w="456" w:type="pct"/>
            <w:vMerge w:val="continue"/>
            <w:shd w:val="clear" w:color="auto" w:fill="auto"/>
            <w:vAlign w:val="center"/>
          </w:tcPr>
          <w:p>
            <w:pPr>
              <w:pStyle w:val="27"/>
              <w:jc w:val="left"/>
              <w:rPr>
                <w:rFonts w:hint="eastAsia" w:ascii="仿宋" w:hAnsi="仿宋" w:eastAsia="仿宋" w:cs="仿宋"/>
                <w:color w:val="auto"/>
                <w:sz w:val="21"/>
                <w:szCs w:val="21"/>
                <w:lang w:val="en-US" w:eastAsia="zh-CN"/>
              </w:rPr>
            </w:pPr>
          </w:p>
        </w:tc>
        <w:tc>
          <w:tcPr>
            <w:tcW w:w="2145" w:type="pct"/>
            <w:shd w:val="clear" w:color="auto" w:fill="auto"/>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地表水优良水质（I~III类）比例</w:t>
            </w:r>
          </w:p>
        </w:tc>
        <w:tc>
          <w:tcPr>
            <w:tcW w:w="572"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757"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56" w:type="pct"/>
            <w:vMerge w:val="continue"/>
            <w:shd w:val="clear" w:color="auto" w:fill="auto"/>
            <w:vAlign w:val="center"/>
          </w:tcPr>
          <w:p>
            <w:pPr>
              <w:pStyle w:val="27"/>
              <w:jc w:val="left"/>
              <w:rPr>
                <w:rFonts w:hint="eastAsia" w:ascii="仿宋" w:hAnsi="仿宋" w:eastAsia="仿宋" w:cs="仿宋"/>
                <w:color w:val="auto"/>
                <w:sz w:val="21"/>
                <w:szCs w:val="21"/>
              </w:rPr>
            </w:pPr>
          </w:p>
        </w:tc>
        <w:tc>
          <w:tcPr>
            <w:tcW w:w="2145" w:type="pct"/>
            <w:shd w:val="clear" w:color="auto" w:fill="auto"/>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地表水劣V类水质比例</w:t>
            </w:r>
          </w:p>
        </w:tc>
        <w:tc>
          <w:tcPr>
            <w:tcW w:w="572"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75" w:hRule="exac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757"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56" w:type="pct"/>
            <w:vMerge w:val="continue"/>
            <w:shd w:val="clear" w:color="auto" w:fill="auto"/>
            <w:vAlign w:val="center"/>
          </w:tcPr>
          <w:p>
            <w:pPr>
              <w:pStyle w:val="27"/>
              <w:jc w:val="left"/>
              <w:rPr>
                <w:rFonts w:hint="eastAsia" w:ascii="仿宋" w:hAnsi="仿宋" w:eastAsia="仿宋" w:cs="仿宋"/>
                <w:color w:val="auto"/>
                <w:sz w:val="21"/>
                <w:szCs w:val="21"/>
              </w:rPr>
            </w:pPr>
          </w:p>
        </w:tc>
        <w:tc>
          <w:tcPr>
            <w:tcW w:w="2145" w:type="pct"/>
            <w:shd w:val="clear" w:color="auto" w:fill="auto"/>
            <w:vAlign w:val="center"/>
          </w:tcPr>
          <w:p>
            <w:pPr>
              <w:pStyle w:val="27"/>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县级</w:t>
            </w:r>
            <w:r>
              <w:rPr>
                <w:rFonts w:hint="eastAsia" w:ascii="仿宋" w:hAnsi="仿宋" w:eastAsia="仿宋" w:cs="仿宋"/>
                <w:color w:val="auto"/>
                <w:sz w:val="21"/>
                <w:szCs w:val="21"/>
                <w:lang w:val="en-US" w:eastAsia="zh-CN"/>
              </w:rPr>
              <w:t>以上</w:t>
            </w:r>
            <w:r>
              <w:rPr>
                <w:rFonts w:hint="eastAsia" w:ascii="仿宋" w:hAnsi="仿宋" w:eastAsia="仿宋" w:cs="仿宋"/>
                <w:color w:val="auto"/>
                <w:sz w:val="21"/>
                <w:szCs w:val="21"/>
              </w:rPr>
              <w:t>集中式饮用水水源地水质达标率</w:t>
            </w:r>
          </w:p>
        </w:tc>
        <w:tc>
          <w:tcPr>
            <w:tcW w:w="572" w:type="pct"/>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75" w:hRule="atLeas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757"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56"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2145" w:type="pct"/>
            <w:shd w:val="clear" w:color="auto" w:fill="auto"/>
            <w:vAlign w:val="center"/>
          </w:tcPr>
          <w:p>
            <w:pPr>
              <w:pStyle w:val="27"/>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地下水I~IV类水质点位比例</w:t>
            </w:r>
          </w:p>
        </w:tc>
        <w:tc>
          <w:tcPr>
            <w:tcW w:w="572" w:type="pct"/>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778" w:hRule="atLeas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lang w:val="en-US" w:eastAsia="zh-CN"/>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lang w:val="en-US" w:eastAsia="zh-CN"/>
              </w:rPr>
            </w:pPr>
          </w:p>
        </w:tc>
        <w:tc>
          <w:tcPr>
            <w:tcW w:w="757" w:type="pct"/>
            <w:shd w:val="clear" w:color="auto" w:fill="auto"/>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辐射</w:t>
            </w:r>
            <w:r>
              <w:rPr>
                <w:rFonts w:hint="eastAsia" w:ascii="仿宋" w:hAnsi="仿宋" w:eastAsia="仿宋" w:cs="仿宋"/>
                <w:color w:val="auto"/>
                <w:sz w:val="21"/>
                <w:szCs w:val="21"/>
              </w:rPr>
              <w:t>环境</w:t>
            </w:r>
            <w:r>
              <w:rPr>
                <w:rFonts w:hint="eastAsia" w:ascii="仿宋" w:hAnsi="仿宋" w:eastAsia="仿宋" w:cs="仿宋"/>
                <w:color w:val="auto"/>
                <w:sz w:val="21"/>
                <w:szCs w:val="21"/>
                <w:lang w:eastAsia="zh-CN"/>
              </w:rPr>
              <w:t>质量</w:t>
            </w:r>
          </w:p>
        </w:tc>
        <w:tc>
          <w:tcPr>
            <w:tcW w:w="456" w:type="pct"/>
            <w:shd w:val="clear" w:color="auto" w:fill="auto"/>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0.15</w:t>
            </w:r>
          </w:p>
        </w:tc>
        <w:tc>
          <w:tcPr>
            <w:tcW w:w="2145" w:type="pct"/>
            <w:shd w:val="clear" w:color="auto" w:fill="auto"/>
            <w:vAlign w:val="center"/>
          </w:tcPr>
          <w:p>
            <w:pPr>
              <w:pStyle w:val="27"/>
              <w:jc w:val="left"/>
              <w:rPr>
                <w:rFonts w:hint="eastAsia" w:ascii="仿宋" w:hAnsi="仿宋" w:eastAsia="仿宋" w:cs="仿宋"/>
                <w:color w:val="auto"/>
                <w:sz w:val="21"/>
                <w:szCs w:val="21"/>
                <w:vertAlign w:val="superscript"/>
              </w:rPr>
            </w:pPr>
            <w:r>
              <w:rPr>
                <w:rFonts w:hint="eastAsia" w:ascii="仿宋" w:hAnsi="仿宋" w:eastAsia="仿宋" w:cs="仿宋"/>
                <w:sz w:val="21"/>
                <w:szCs w:val="21"/>
              </w:rPr>
              <w:t>γ剂量率</w:t>
            </w:r>
          </w:p>
        </w:tc>
        <w:tc>
          <w:tcPr>
            <w:tcW w:w="572"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07" w:hRule="atLeas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757" w:type="pct"/>
            <w:vMerge w:val="restart"/>
            <w:shd w:val="clear" w:color="auto" w:fill="auto"/>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土壤环境</w:t>
            </w:r>
            <w:r>
              <w:rPr>
                <w:rFonts w:hint="eastAsia" w:ascii="仿宋" w:hAnsi="仿宋" w:eastAsia="仿宋" w:cs="仿宋"/>
                <w:color w:val="auto"/>
                <w:sz w:val="21"/>
                <w:szCs w:val="21"/>
                <w:lang w:eastAsia="zh-CN"/>
              </w:rPr>
              <w:t>质量</w:t>
            </w:r>
          </w:p>
        </w:tc>
        <w:tc>
          <w:tcPr>
            <w:tcW w:w="456" w:type="pct"/>
            <w:vMerge w:val="restart"/>
            <w:shd w:val="clear" w:color="auto" w:fill="auto"/>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0.15</w:t>
            </w:r>
          </w:p>
        </w:tc>
        <w:tc>
          <w:tcPr>
            <w:tcW w:w="2145" w:type="pct"/>
            <w:shd w:val="clear" w:color="auto" w:fill="auto"/>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污染物含量未超过农用地土壤污染风险筛选值点位比例</w:t>
            </w:r>
          </w:p>
        </w:tc>
        <w:tc>
          <w:tcPr>
            <w:tcW w:w="572" w:type="pct"/>
            <w:vAlign w:val="center"/>
          </w:tcPr>
          <w:p>
            <w:pPr>
              <w:pStyle w:val="27"/>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0.4</w:t>
            </w:r>
            <w:r>
              <w:rPr>
                <w:rFonts w:hint="eastAsia" w:ascii="仿宋" w:hAnsi="仿宋" w:eastAsia="仿宋" w:cs="仿宋"/>
                <w:color w:val="auto"/>
                <w:sz w:val="21"/>
                <w:szCs w:val="21"/>
                <w:lang w:val="en-US"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757"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56"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2145" w:type="pct"/>
            <w:shd w:val="clear" w:color="auto" w:fill="auto"/>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污染物含量超过农用地土壤污染风险管制值点位比例</w:t>
            </w:r>
          </w:p>
        </w:tc>
        <w:tc>
          <w:tcPr>
            <w:tcW w:w="572"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757" w:type="pct"/>
            <w:vMerge w:val="restart"/>
            <w:shd w:val="clear" w:color="auto" w:fill="auto"/>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声环境</w:t>
            </w:r>
            <w:r>
              <w:rPr>
                <w:rFonts w:hint="eastAsia" w:ascii="仿宋" w:hAnsi="仿宋" w:eastAsia="仿宋" w:cs="仿宋"/>
                <w:color w:val="auto"/>
                <w:sz w:val="21"/>
                <w:szCs w:val="21"/>
                <w:lang w:eastAsia="zh-CN"/>
              </w:rPr>
              <w:t>质量</w:t>
            </w:r>
          </w:p>
        </w:tc>
        <w:tc>
          <w:tcPr>
            <w:tcW w:w="456" w:type="pct"/>
            <w:vMerge w:val="restar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0.20</w:t>
            </w:r>
          </w:p>
        </w:tc>
        <w:tc>
          <w:tcPr>
            <w:tcW w:w="2145" w:type="pct"/>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声环境功能区昼间达标率</w:t>
            </w:r>
          </w:p>
        </w:tc>
        <w:tc>
          <w:tcPr>
            <w:tcW w:w="572"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757"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56" w:type="pct"/>
            <w:vMerge w:val="continue"/>
            <w:vAlign w:val="center"/>
          </w:tcPr>
          <w:p>
            <w:pPr>
              <w:pStyle w:val="27"/>
              <w:jc w:val="center"/>
              <w:rPr>
                <w:rFonts w:hint="eastAsia" w:ascii="仿宋" w:hAnsi="仿宋" w:eastAsia="仿宋" w:cs="仿宋"/>
                <w:color w:val="auto"/>
                <w:sz w:val="21"/>
                <w:szCs w:val="21"/>
              </w:rPr>
            </w:pPr>
          </w:p>
        </w:tc>
        <w:tc>
          <w:tcPr>
            <w:tcW w:w="2145" w:type="pct"/>
            <w:vAlign w:val="center"/>
          </w:tcPr>
          <w:p>
            <w:pPr>
              <w:pStyle w:val="27"/>
              <w:jc w:val="left"/>
              <w:rPr>
                <w:rFonts w:hint="eastAsia" w:ascii="仿宋" w:hAnsi="仿宋" w:eastAsia="仿宋" w:cs="仿宋"/>
                <w:color w:val="auto"/>
                <w:sz w:val="21"/>
                <w:szCs w:val="21"/>
              </w:rPr>
            </w:pPr>
            <w:r>
              <w:rPr>
                <w:rFonts w:hint="eastAsia" w:ascii="仿宋" w:hAnsi="仿宋" w:eastAsia="仿宋" w:cs="仿宋"/>
                <w:color w:val="auto"/>
                <w:sz w:val="21"/>
                <w:szCs w:val="21"/>
              </w:rPr>
              <w:t>声环境功能区夜间达标率</w:t>
            </w:r>
          </w:p>
        </w:tc>
        <w:tc>
          <w:tcPr>
            <w:tcW w:w="572" w:type="pct"/>
            <w:vAlign w:val="center"/>
          </w:tcPr>
          <w:p>
            <w:pPr>
              <w:pStyle w:val="27"/>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18" w:type="pct"/>
            <w:vMerge w:val="restart"/>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绿色低碳水平</w:t>
            </w:r>
          </w:p>
        </w:tc>
        <w:tc>
          <w:tcPr>
            <w:tcW w:w="449" w:type="pct"/>
            <w:vMerge w:val="restart"/>
            <w:shd w:val="clear" w:color="auto" w:fill="auto"/>
            <w:vAlign w:val="center"/>
          </w:tcPr>
          <w:p>
            <w:pPr>
              <w:pStyle w:val="27"/>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0.25</w:t>
            </w:r>
          </w:p>
        </w:tc>
        <w:tc>
          <w:tcPr>
            <w:tcW w:w="757" w:type="pct"/>
            <w:vMerge w:val="restart"/>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绿色发展水平</w:t>
            </w:r>
          </w:p>
        </w:tc>
        <w:tc>
          <w:tcPr>
            <w:tcW w:w="456" w:type="pct"/>
            <w:vMerge w:val="restart"/>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0.35</w:t>
            </w:r>
          </w:p>
        </w:tc>
        <w:tc>
          <w:tcPr>
            <w:tcW w:w="2145" w:type="pct"/>
            <w:vAlign w:val="center"/>
          </w:tcPr>
          <w:p>
            <w:pPr>
              <w:pStyle w:val="27"/>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人均GDP</w:t>
            </w:r>
          </w:p>
        </w:tc>
        <w:tc>
          <w:tcPr>
            <w:tcW w:w="572" w:type="pct"/>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757" w:type="pct"/>
            <w:vMerge w:val="continue"/>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p>
        </w:tc>
        <w:tc>
          <w:tcPr>
            <w:tcW w:w="456" w:type="pct"/>
            <w:vMerge w:val="continue"/>
            <w:vAlign w:val="center"/>
          </w:tcPr>
          <w:p>
            <w:pPr>
              <w:pStyle w:val="27"/>
              <w:jc w:val="center"/>
              <w:rPr>
                <w:rFonts w:hint="eastAsia" w:ascii="仿宋" w:hAnsi="仿宋" w:eastAsia="仿宋" w:cs="仿宋"/>
                <w:color w:val="auto"/>
                <w:kern w:val="2"/>
                <w:sz w:val="21"/>
                <w:szCs w:val="21"/>
                <w:lang w:val="en-US" w:eastAsia="zh-CN" w:bidi="ar-SA"/>
              </w:rPr>
            </w:pPr>
          </w:p>
        </w:tc>
        <w:tc>
          <w:tcPr>
            <w:tcW w:w="2145" w:type="pct"/>
            <w:vAlign w:val="center"/>
          </w:tcPr>
          <w:p>
            <w:pPr>
              <w:pStyle w:val="27"/>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单位GDP全社会用电量</w:t>
            </w:r>
          </w:p>
        </w:tc>
        <w:tc>
          <w:tcPr>
            <w:tcW w:w="572" w:type="pct"/>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757" w:type="pct"/>
            <w:vMerge w:val="continue"/>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p>
        </w:tc>
        <w:tc>
          <w:tcPr>
            <w:tcW w:w="456" w:type="pct"/>
            <w:vMerge w:val="continue"/>
            <w:vAlign w:val="center"/>
          </w:tcPr>
          <w:p>
            <w:pPr>
              <w:pStyle w:val="27"/>
              <w:jc w:val="center"/>
              <w:rPr>
                <w:rFonts w:hint="eastAsia" w:ascii="仿宋" w:hAnsi="仿宋" w:eastAsia="仿宋" w:cs="仿宋"/>
                <w:color w:val="auto"/>
                <w:kern w:val="2"/>
                <w:sz w:val="21"/>
                <w:szCs w:val="21"/>
                <w:lang w:val="en-US" w:eastAsia="zh-CN" w:bidi="ar-SA"/>
              </w:rPr>
            </w:pPr>
          </w:p>
        </w:tc>
        <w:tc>
          <w:tcPr>
            <w:tcW w:w="2145" w:type="pct"/>
            <w:vAlign w:val="center"/>
          </w:tcPr>
          <w:p>
            <w:pPr>
              <w:pStyle w:val="27"/>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单位工业产值用水量</w:t>
            </w:r>
          </w:p>
        </w:tc>
        <w:tc>
          <w:tcPr>
            <w:tcW w:w="572" w:type="pct"/>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8" w:hRule="exact"/>
          <w:jc w:val="center"/>
        </w:trPr>
        <w:tc>
          <w:tcPr>
            <w:tcW w:w="618" w:type="pct"/>
            <w:vMerge w:val="continue"/>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p>
        </w:tc>
        <w:tc>
          <w:tcPr>
            <w:tcW w:w="449" w:type="pct"/>
            <w:vMerge w:val="continue"/>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p>
        </w:tc>
        <w:tc>
          <w:tcPr>
            <w:tcW w:w="757" w:type="pct"/>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低碳水平</w:t>
            </w:r>
          </w:p>
        </w:tc>
        <w:tc>
          <w:tcPr>
            <w:tcW w:w="456" w:type="pct"/>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0.35</w:t>
            </w:r>
          </w:p>
        </w:tc>
        <w:tc>
          <w:tcPr>
            <w:tcW w:w="2145" w:type="pct"/>
            <w:vAlign w:val="center"/>
          </w:tcPr>
          <w:p>
            <w:pPr>
              <w:pStyle w:val="27"/>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单位GDP二氧化碳排放量</w:t>
            </w:r>
          </w:p>
        </w:tc>
        <w:tc>
          <w:tcPr>
            <w:tcW w:w="572" w:type="pct"/>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61" w:hRule="exact"/>
          <w:jc w:val="center"/>
        </w:trPr>
        <w:tc>
          <w:tcPr>
            <w:tcW w:w="618" w:type="pct"/>
            <w:vMerge w:val="continue"/>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p>
        </w:tc>
        <w:tc>
          <w:tcPr>
            <w:tcW w:w="449" w:type="pct"/>
            <w:vMerge w:val="continue"/>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p>
        </w:tc>
        <w:tc>
          <w:tcPr>
            <w:tcW w:w="757" w:type="pct"/>
            <w:vMerge w:val="restart"/>
            <w:shd w:val="clear" w:color="auto" w:fill="auto"/>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环境</w:t>
            </w:r>
            <w:r>
              <w:rPr>
                <w:rFonts w:hint="eastAsia" w:ascii="仿宋" w:hAnsi="仿宋" w:eastAsia="仿宋" w:cs="仿宋"/>
                <w:color w:val="auto"/>
                <w:sz w:val="21"/>
                <w:szCs w:val="21"/>
                <w:lang w:val="en-US" w:eastAsia="zh-CN"/>
              </w:rPr>
              <w:t>治理水平</w:t>
            </w:r>
          </w:p>
        </w:tc>
        <w:tc>
          <w:tcPr>
            <w:tcW w:w="456" w:type="pct"/>
            <w:vMerge w:val="restart"/>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0.3</w:t>
            </w:r>
          </w:p>
        </w:tc>
        <w:tc>
          <w:tcPr>
            <w:tcW w:w="2145" w:type="pct"/>
            <w:vAlign w:val="center"/>
          </w:tcPr>
          <w:p>
            <w:pPr>
              <w:pStyle w:val="27"/>
              <w:jc w:val="left"/>
              <w:rPr>
                <w:rFonts w:hint="eastAsia" w:ascii="仿宋" w:hAnsi="仿宋" w:eastAsia="仿宋" w:cs="仿宋"/>
                <w:color w:val="auto"/>
                <w:kern w:val="2"/>
                <w:sz w:val="21"/>
                <w:szCs w:val="21"/>
                <w:vertAlign w:val="superscript"/>
                <w:lang w:val="en-US" w:eastAsia="zh-CN" w:bidi="ar-SA"/>
              </w:rPr>
            </w:pPr>
            <w:r>
              <w:rPr>
                <w:rFonts w:hint="eastAsia" w:ascii="仿宋" w:hAnsi="仿宋" w:eastAsia="仿宋" w:cs="仿宋"/>
                <w:sz w:val="21"/>
                <w:szCs w:val="21"/>
                <w:lang w:val="en-US" w:eastAsia="zh-CN"/>
              </w:rPr>
              <w:t>主要环境空气污染物去除率</w:t>
            </w:r>
          </w:p>
        </w:tc>
        <w:tc>
          <w:tcPr>
            <w:tcW w:w="572" w:type="pct"/>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618"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449" w:type="pct"/>
            <w:vMerge w:val="continue"/>
            <w:shd w:val="clear" w:color="auto" w:fill="auto"/>
            <w:vAlign w:val="center"/>
          </w:tcPr>
          <w:p>
            <w:pPr>
              <w:pStyle w:val="27"/>
              <w:jc w:val="center"/>
              <w:rPr>
                <w:rFonts w:hint="eastAsia" w:ascii="仿宋" w:hAnsi="仿宋" w:eastAsia="仿宋" w:cs="仿宋"/>
                <w:color w:val="auto"/>
                <w:sz w:val="21"/>
                <w:szCs w:val="21"/>
              </w:rPr>
            </w:pPr>
          </w:p>
        </w:tc>
        <w:tc>
          <w:tcPr>
            <w:tcW w:w="757" w:type="pct"/>
            <w:vMerge w:val="continue"/>
            <w:shd w:val="clear" w:color="auto" w:fill="auto"/>
            <w:vAlign w:val="center"/>
          </w:tcPr>
          <w:p>
            <w:pPr>
              <w:pStyle w:val="27"/>
              <w:jc w:val="left"/>
              <w:rPr>
                <w:rFonts w:hint="eastAsia" w:ascii="仿宋" w:hAnsi="仿宋" w:eastAsia="仿宋" w:cs="仿宋"/>
                <w:kern w:val="2"/>
                <w:sz w:val="21"/>
                <w:szCs w:val="21"/>
                <w:lang w:val="en-US" w:eastAsia="zh-CN" w:bidi="ar-SA"/>
              </w:rPr>
            </w:pPr>
          </w:p>
        </w:tc>
        <w:tc>
          <w:tcPr>
            <w:tcW w:w="456" w:type="pct"/>
            <w:vMerge w:val="continue"/>
            <w:vAlign w:val="center"/>
          </w:tcPr>
          <w:p>
            <w:pPr>
              <w:pStyle w:val="27"/>
              <w:jc w:val="center"/>
              <w:rPr>
                <w:rFonts w:hint="eastAsia" w:ascii="仿宋" w:hAnsi="仿宋" w:eastAsia="仿宋" w:cs="仿宋"/>
                <w:color w:val="auto"/>
                <w:kern w:val="2"/>
                <w:sz w:val="21"/>
                <w:szCs w:val="21"/>
                <w:lang w:val="en-US" w:eastAsia="zh-CN" w:bidi="ar-SA"/>
              </w:rPr>
            </w:pPr>
          </w:p>
        </w:tc>
        <w:tc>
          <w:tcPr>
            <w:tcW w:w="2145" w:type="pct"/>
            <w:vAlign w:val="center"/>
          </w:tcPr>
          <w:p>
            <w:pPr>
              <w:pStyle w:val="27"/>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主要水环境污染物去除率</w:t>
            </w:r>
          </w:p>
        </w:tc>
        <w:tc>
          <w:tcPr>
            <w:tcW w:w="572" w:type="pct"/>
            <w:vAlign w:val="center"/>
          </w:tcPr>
          <w:p>
            <w:pPr>
              <w:pStyle w:val="27"/>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0.5</w:t>
            </w:r>
          </w:p>
        </w:tc>
      </w:tr>
    </w:tbl>
    <w:p>
      <w:pPr>
        <w:ind w:firstLine="560"/>
        <w:rPr>
          <w:rFonts w:hint="eastAsia" w:ascii="仿宋" w:hAnsi="仿宋" w:eastAsia="仿宋" w:cs="仿宋"/>
          <w:sz w:val="32"/>
          <w:szCs w:val="32"/>
          <w:lang w:eastAsia="zh-CN"/>
        </w:rPr>
      </w:pPr>
    </w:p>
    <w:p>
      <w:pPr>
        <w:ind w:firstLine="560"/>
        <w:rPr>
          <w:rFonts w:hint="eastAsia" w:ascii="仿宋" w:hAnsi="仿宋" w:eastAsia="仿宋" w:cs="仿宋"/>
          <w:sz w:val="32"/>
          <w:szCs w:val="32"/>
          <w:lang w:eastAsia="zh-CN"/>
        </w:rPr>
      </w:pPr>
    </w:p>
    <w:p>
      <w:pPr>
        <w:pStyle w:val="20"/>
        <w:numPr>
          <w:ilvl w:val="0"/>
          <w:numId w:val="1"/>
        </w:numPr>
        <w:ind w:firstLineChars="0"/>
        <w:outlineLvl w:val="0"/>
        <w:rPr>
          <w:rFonts w:ascii="黑体" w:hAnsi="黑体" w:eastAsia="黑体" w:cs="宋体"/>
          <w:bCs/>
          <w:sz w:val="32"/>
          <w:szCs w:val="32"/>
        </w:rPr>
      </w:pPr>
      <w:r>
        <w:rPr>
          <w:rFonts w:hint="eastAsia" w:ascii="黑体" w:hAnsi="黑体" w:eastAsia="黑体" w:cs="宋体"/>
          <w:bCs/>
          <w:sz w:val="32"/>
          <w:szCs w:val="32"/>
        </w:rPr>
        <w:t>标准基本情况及变更说明</w:t>
      </w:r>
    </w:p>
    <w:p>
      <w:pPr>
        <w:pStyle w:val="20"/>
        <w:numPr>
          <w:ilvl w:val="0"/>
          <w:numId w:val="5"/>
        </w:numPr>
        <w:ind w:firstLineChars="0"/>
        <w:outlineLvl w:val="1"/>
        <w:rPr>
          <w:rFonts w:ascii="楷体_GB2312" w:hAnsi="仿宋" w:eastAsia="楷体_GB2312" w:cs="Calibri"/>
          <w:b/>
          <w:sz w:val="32"/>
          <w:szCs w:val="32"/>
        </w:rPr>
      </w:pPr>
      <w:r>
        <w:rPr>
          <w:rFonts w:hint="eastAsia" w:ascii="楷体_GB2312" w:hAnsi="仿宋" w:eastAsia="楷体_GB2312" w:cs="Calibri"/>
          <w:b/>
          <w:sz w:val="32"/>
          <w:szCs w:val="32"/>
        </w:rPr>
        <w:t>主要参考文献</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本标准的制定主要参考了以下文件：</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GB3095环境空气质量标准</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GB3096声环境质量标准</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GB3838地表水环境质量标准</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GB15618土壤环境质量标准</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GB/T14848地下水质量标准</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HJ663环境空气质量评价技术规范（试行）</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HJ633环境空气质量指数（AQI）技术规定（试行）</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HJ640环境噪声监测技术规范城市声环境常规监测</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区域生态质量评价办法（试行）（环监测〔2021〕99号）</w:t>
      </w:r>
    </w:p>
    <w:p>
      <w:pPr>
        <w:ind w:firstLine="560"/>
        <w:rPr>
          <w:rFonts w:hint="eastAsia"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城市地表水环境质量排名技术规定（试行）（环办监测[2017]51号）</w:t>
      </w:r>
    </w:p>
    <w:p>
      <w:pPr>
        <w:ind w:firstLine="560"/>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城市环境空气质量排名技术规定（环办监测〔2018〕19号）</w:t>
      </w:r>
    </w:p>
    <w:p>
      <w:pPr>
        <w:pStyle w:val="20"/>
        <w:numPr>
          <w:ilvl w:val="0"/>
          <w:numId w:val="5"/>
        </w:numPr>
        <w:ind w:firstLineChars="0"/>
        <w:outlineLvl w:val="1"/>
        <w:rPr>
          <w:rFonts w:ascii="楷体_GB2312" w:hAnsi="仿宋" w:eastAsia="楷体_GB2312" w:cs="Calibri"/>
          <w:b/>
          <w:sz w:val="32"/>
          <w:szCs w:val="32"/>
        </w:rPr>
      </w:pPr>
      <w:r>
        <w:rPr>
          <w:rFonts w:hint="eastAsia" w:ascii="楷体_GB2312" w:hAnsi="仿宋" w:eastAsia="楷体_GB2312" w:cs="Calibri"/>
          <w:b/>
          <w:sz w:val="32"/>
          <w:szCs w:val="32"/>
        </w:rPr>
        <w:t>标准名称及变更说明</w:t>
      </w:r>
    </w:p>
    <w:p>
      <w:pPr>
        <w:ind w:firstLine="560"/>
        <w:rPr>
          <w:rFonts w:hint="default" w:ascii="Times New Roman" w:hAnsi="Times New Roman" w:eastAsia="仿宋_GB2312" w:cs="Times New Roman"/>
          <w:bCs w:val="0"/>
          <w:i w:val="0"/>
          <w:iCs w:val="0"/>
          <w:caps w:val="0"/>
          <w:color w:val="auto"/>
          <w:spacing w:val="0"/>
          <w:kern w:val="2"/>
          <w:sz w:val="32"/>
          <w:szCs w:val="32"/>
          <w:lang w:val="en-US" w:eastAsia="zh-CN" w:bidi="ar-SA"/>
        </w:rPr>
      </w:pPr>
      <w:r>
        <w:rPr>
          <w:rFonts w:hint="eastAsia" w:ascii="Times New Roman" w:hAnsi="Times New Roman" w:eastAsia="仿宋_GB2312" w:cs="Times New Roman"/>
          <w:bCs w:val="0"/>
          <w:i w:val="0"/>
          <w:iCs w:val="0"/>
          <w:caps w:val="0"/>
          <w:color w:val="auto"/>
          <w:spacing w:val="0"/>
          <w:kern w:val="2"/>
          <w:sz w:val="32"/>
          <w:szCs w:val="32"/>
          <w:lang w:val="en-US" w:eastAsia="zh-CN" w:bidi="ar-SA"/>
        </w:rPr>
        <w:t>立项申请阶段标准名称为《生态环境质量综合评价技术规定》。立项后，根据立项会专家意见，结合标准研制工作组讨论意见，征求意见稿变更标准名称为《生态环境质量综合指数评价技术规范》。在征求专家意见，建议调整为《生态环境质量综合指数（EQCI）技术规定》。</w:t>
      </w:r>
    </w:p>
    <w:p>
      <w:pPr>
        <w:pStyle w:val="20"/>
        <w:numPr>
          <w:ilvl w:val="0"/>
          <w:numId w:val="5"/>
        </w:numPr>
        <w:ind w:firstLineChars="0"/>
        <w:outlineLvl w:val="1"/>
        <w:rPr>
          <w:rFonts w:ascii="楷体_GB2312" w:hAnsi="仿宋" w:eastAsia="楷体_GB2312" w:cs="Calibri"/>
          <w:b/>
          <w:sz w:val="32"/>
          <w:szCs w:val="32"/>
        </w:rPr>
      </w:pPr>
      <w:r>
        <w:rPr>
          <w:rFonts w:hint="eastAsia" w:ascii="楷体_GB2312" w:hAnsi="仿宋" w:eastAsia="楷体_GB2312" w:cs="Calibri"/>
          <w:b/>
          <w:sz w:val="32"/>
          <w:szCs w:val="32"/>
        </w:rPr>
        <w:t>标准适用范围及变更说明</w:t>
      </w:r>
    </w:p>
    <w:p>
      <w:pPr>
        <w:bidi w:val="0"/>
        <w:ind w:firstLine="640" w:firstLineChars="200"/>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标准适用范围为：规定了</w:t>
      </w:r>
      <w:bookmarkStart w:id="2" w:name="_Hlk177046220"/>
      <w:r>
        <w:rPr>
          <w:rFonts w:hint="eastAsia" w:ascii="仿宋" w:hAnsi="仿宋" w:eastAsia="仿宋" w:cs="仿宋"/>
          <w:b w:val="0"/>
          <w:bCs/>
          <w:color w:val="auto"/>
          <w:kern w:val="0"/>
          <w:sz w:val="32"/>
          <w:szCs w:val="32"/>
          <w:lang w:val="en-US" w:eastAsia="zh-CN" w:bidi="ar-SA"/>
        </w:rPr>
        <w:t>生态环境质量综合指数、计算方法及评价方法等技术内容，</w:t>
      </w:r>
      <w:bookmarkEnd w:id="2"/>
      <w:r>
        <w:rPr>
          <w:rFonts w:hint="eastAsia" w:ascii="仿宋" w:hAnsi="仿宋" w:eastAsia="仿宋" w:cs="仿宋"/>
          <w:b w:val="0"/>
          <w:bCs/>
          <w:color w:val="auto"/>
          <w:kern w:val="0"/>
          <w:sz w:val="32"/>
          <w:szCs w:val="32"/>
          <w:lang w:val="en-US" w:eastAsia="zh-CN" w:bidi="ar-SA"/>
        </w:rPr>
        <w:t>适用于县级及以上区域</w:t>
      </w:r>
      <w:r>
        <w:rPr>
          <w:rFonts w:hint="default" w:ascii="仿宋" w:hAnsi="仿宋" w:eastAsia="仿宋" w:cs="仿宋"/>
          <w:b w:val="0"/>
          <w:bCs/>
          <w:color w:val="auto"/>
          <w:kern w:val="0"/>
          <w:sz w:val="32"/>
          <w:szCs w:val="32"/>
          <w:lang w:val="en-US" w:eastAsia="zh-CN" w:bidi="ar-SA"/>
        </w:rPr>
        <w:t>生态</w:t>
      </w:r>
      <w:r>
        <w:rPr>
          <w:rFonts w:hint="eastAsia" w:ascii="仿宋" w:hAnsi="仿宋" w:eastAsia="仿宋" w:cs="仿宋"/>
          <w:b w:val="0"/>
          <w:bCs/>
          <w:color w:val="auto"/>
          <w:kern w:val="0"/>
          <w:sz w:val="32"/>
          <w:szCs w:val="32"/>
          <w:lang w:val="en-US" w:eastAsia="zh-CN" w:bidi="ar-SA"/>
        </w:rPr>
        <w:t>环境质量现状和趋势的综合评价。</w:t>
      </w:r>
    </w:p>
    <w:p>
      <w:pPr>
        <w:bidi w:val="0"/>
        <w:ind w:firstLine="640" w:firstLineChars="200"/>
        <w:rPr>
          <w:rFonts w:ascii="楷体_GB2312" w:hAnsi="仿宋" w:eastAsia="楷体_GB2312" w:cs="Calibri"/>
          <w:b/>
          <w:color w:val="auto"/>
          <w:sz w:val="32"/>
          <w:szCs w:val="32"/>
        </w:rPr>
      </w:pPr>
      <w:r>
        <w:rPr>
          <w:rFonts w:hint="eastAsia" w:ascii="仿宋" w:hAnsi="仿宋" w:eastAsia="仿宋" w:cs="仿宋"/>
          <w:b w:val="0"/>
          <w:bCs/>
          <w:color w:val="auto"/>
          <w:kern w:val="0"/>
          <w:sz w:val="32"/>
          <w:szCs w:val="32"/>
          <w:lang w:val="en-US" w:eastAsia="zh-CN" w:bidi="ar-SA"/>
        </w:rPr>
        <w:t>与</w:t>
      </w:r>
      <w:r>
        <w:rPr>
          <w:rFonts w:hint="default" w:ascii="仿宋" w:hAnsi="仿宋" w:eastAsia="仿宋" w:cs="仿宋"/>
          <w:b w:val="0"/>
          <w:bCs/>
          <w:color w:val="auto"/>
          <w:kern w:val="0"/>
          <w:sz w:val="32"/>
          <w:szCs w:val="32"/>
          <w:lang w:val="en-US" w:eastAsia="zh-CN" w:bidi="ar-SA"/>
        </w:rPr>
        <w:t>立项申请阶段</w:t>
      </w:r>
      <w:r>
        <w:rPr>
          <w:rFonts w:hint="eastAsia" w:ascii="仿宋" w:hAnsi="仿宋" w:eastAsia="仿宋" w:cs="仿宋"/>
          <w:b w:val="0"/>
          <w:bCs/>
          <w:color w:val="auto"/>
          <w:kern w:val="0"/>
          <w:sz w:val="32"/>
          <w:szCs w:val="32"/>
          <w:lang w:val="en-US" w:eastAsia="zh-CN" w:bidi="ar-SA"/>
        </w:rPr>
        <w:t>的</w:t>
      </w:r>
      <w:r>
        <w:rPr>
          <w:rFonts w:hint="default" w:ascii="仿宋" w:hAnsi="仿宋" w:eastAsia="仿宋" w:cs="仿宋"/>
          <w:b w:val="0"/>
          <w:bCs/>
          <w:color w:val="auto"/>
          <w:kern w:val="0"/>
          <w:sz w:val="32"/>
          <w:szCs w:val="32"/>
          <w:lang w:val="en-US" w:eastAsia="zh-CN" w:bidi="ar-SA"/>
        </w:rPr>
        <w:t>“本</w:t>
      </w:r>
      <w:r>
        <w:rPr>
          <w:rFonts w:hint="eastAsia" w:ascii="仿宋" w:hAnsi="仿宋" w:eastAsia="仿宋" w:cs="仿宋"/>
          <w:b w:val="0"/>
          <w:bCs/>
          <w:color w:val="auto"/>
          <w:kern w:val="0"/>
          <w:sz w:val="32"/>
          <w:szCs w:val="32"/>
          <w:lang w:val="en-US" w:eastAsia="zh-CN" w:bidi="ar-SA"/>
        </w:rPr>
        <w:t>标准</w:t>
      </w:r>
      <w:r>
        <w:rPr>
          <w:rFonts w:hint="default" w:ascii="仿宋" w:hAnsi="仿宋" w:eastAsia="仿宋" w:cs="仿宋"/>
          <w:b w:val="0"/>
          <w:bCs/>
          <w:color w:val="auto"/>
          <w:kern w:val="0"/>
          <w:sz w:val="32"/>
          <w:szCs w:val="32"/>
          <w:lang w:val="en-US" w:eastAsia="zh-CN" w:bidi="ar-SA"/>
        </w:rPr>
        <w:t>规定了生态</w:t>
      </w:r>
      <w:r>
        <w:rPr>
          <w:rFonts w:hint="eastAsia" w:ascii="仿宋" w:hAnsi="仿宋" w:eastAsia="仿宋" w:cs="仿宋"/>
          <w:b w:val="0"/>
          <w:bCs/>
          <w:color w:val="auto"/>
          <w:kern w:val="0"/>
          <w:sz w:val="32"/>
          <w:szCs w:val="32"/>
          <w:lang w:val="en-US" w:eastAsia="zh-CN" w:bidi="ar-SA"/>
        </w:rPr>
        <w:t>环境质量综合指数技术规定的范围、规范性引用文件、术语和定义、</w:t>
      </w:r>
      <w:r>
        <w:rPr>
          <w:rFonts w:hint="default" w:ascii="仿宋" w:hAnsi="仿宋" w:eastAsia="仿宋" w:cs="仿宋"/>
          <w:b w:val="0"/>
          <w:bCs/>
          <w:color w:val="auto"/>
          <w:kern w:val="0"/>
          <w:sz w:val="32"/>
          <w:szCs w:val="32"/>
          <w:lang w:val="en-US" w:eastAsia="zh-CN" w:bidi="ar-SA"/>
        </w:rPr>
        <w:t>生态</w:t>
      </w:r>
      <w:r>
        <w:rPr>
          <w:rFonts w:hint="eastAsia" w:ascii="仿宋" w:hAnsi="仿宋" w:eastAsia="仿宋" w:cs="仿宋"/>
          <w:b w:val="0"/>
          <w:bCs/>
          <w:color w:val="auto"/>
          <w:kern w:val="0"/>
          <w:sz w:val="32"/>
          <w:szCs w:val="32"/>
          <w:lang w:val="en-US" w:eastAsia="zh-CN" w:bidi="ar-SA"/>
        </w:rPr>
        <w:t>环境质量综合指数评价指标体系和</w:t>
      </w:r>
      <w:r>
        <w:rPr>
          <w:rFonts w:hint="default" w:ascii="仿宋" w:hAnsi="仿宋" w:eastAsia="仿宋" w:cs="仿宋"/>
          <w:b w:val="0"/>
          <w:bCs/>
          <w:color w:val="auto"/>
          <w:kern w:val="0"/>
          <w:sz w:val="32"/>
          <w:szCs w:val="32"/>
          <w:lang w:val="en-US" w:eastAsia="zh-CN" w:bidi="ar-SA"/>
        </w:rPr>
        <w:t>生态</w:t>
      </w:r>
      <w:r>
        <w:rPr>
          <w:rFonts w:hint="eastAsia" w:ascii="仿宋" w:hAnsi="仿宋" w:eastAsia="仿宋" w:cs="仿宋"/>
          <w:b w:val="0"/>
          <w:bCs/>
          <w:color w:val="auto"/>
          <w:kern w:val="0"/>
          <w:sz w:val="32"/>
          <w:szCs w:val="32"/>
          <w:lang w:val="en-US" w:eastAsia="zh-CN" w:bidi="ar-SA"/>
        </w:rPr>
        <w:t>环境质量综合指数指标测算方法</w:t>
      </w:r>
      <w:r>
        <w:rPr>
          <w:rFonts w:hint="default" w:ascii="仿宋" w:hAnsi="仿宋" w:eastAsia="仿宋" w:cs="仿宋"/>
          <w:b w:val="0"/>
          <w:bCs/>
          <w:color w:val="auto"/>
          <w:kern w:val="0"/>
          <w:sz w:val="32"/>
          <w:szCs w:val="32"/>
          <w:lang w:val="en-US" w:eastAsia="zh-CN" w:bidi="ar-SA"/>
        </w:rPr>
        <w:t>。本</w:t>
      </w:r>
      <w:r>
        <w:rPr>
          <w:rFonts w:hint="eastAsia" w:ascii="仿宋" w:hAnsi="仿宋" w:eastAsia="仿宋" w:cs="仿宋"/>
          <w:b w:val="0"/>
          <w:bCs/>
          <w:color w:val="auto"/>
          <w:kern w:val="0"/>
          <w:sz w:val="32"/>
          <w:szCs w:val="32"/>
          <w:lang w:val="en-US" w:eastAsia="zh-CN" w:bidi="ar-SA"/>
        </w:rPr>
        <w:t>标准</w:t>
      </w:r>
      <w:r>
        <w:rPr>
          <w:rFonts w:hint="default" w:ascii="仿宋" w:hAnsi="仿宋" w:eastAsia="仿宋" w:cs="仿宋"/>
          <w:b w:val="0"/>
          <w:bCs/>
          <w:color w:val="auto"/>
          <w:kern w:val="0"/>
          <w:sz w:val="32"/>
          <w:szCs w:val="32"/>
          <w:lang w:val="en-US" w:eastAsia="zh-CN" w:bidi="ar-SA"/>
        </w:rPr>
        <w:t>适用于</w:t>
      </w:r>
      <w:r>
        <w:rPr>
          <w:rFonts w:hint="eastAsia" w:ascii="仿宋" w:hAnsi="仿宋" w:eastAsia="仿宋" w:cs="仿宋"/>
          <w:b w:val="0"/>
          <w:bCs/>
          <w:color w:val="auto"/>
          <w:kern w:val="0"/>
          <w:sz w:val="32"/>
          <w:szCs w:val="32"/>
          <w:lang w:val="en-US" w:eastAsia="zh-CN" w:bidi="ar-SA"/>
        </w:rPr>
        <w:t>区域</w:t>
      </w:r>
      <w:r>
        <w:rPr>
          <w:rFonts w:hint="default" w:ascii="仿宋" w:hAnsi="仿宋" w:eastAsia="仿宋" w:cs="仿宋"/>
          <w:b w:val="0"/>
          <w:bCs/>
          <w:color w:val="auto"/>
          <w:kern w:val="0"/>
          <w:sz w:val="32"/>
          <w:szCs w:val="32"/>
          <w:lang w:val="en-US" w:eastAsia="zh-CN" w:bidi="ar-SA"/>
        </w:rPr>
        <w:t>生态</w:t>
      </w:r>
      <w:r>
        <w:rPr>
          <w:rFonts w:hint="eastAsia" w:ascii="仿宋" w:hAnsi="仿宋" w:eastAsia="仿宋" w:cs="仿宋"/>
          <w:b w:val="0"/>
          <w:bCs/>
          <w:color w:val="auto"/>
          <w:kern w:val="0"/>
          <w:sz w:val="32"/>
          <w:szCs w:val="32"/>
          <w:lang w:val="en-US" w:eastAsia="zh-CN" w:bidi="ar-SA"/>
        </w:rPr>
        <w:t>环境质量评价及变化趋势分析。</w:t>
      </w:r>
      <w:r>
        <w:rPr>
          <w:rFonts w:hint="default" w:ascii="仿宋" w:hAnsi="仿宋" w:eastAsia="仿宋" w:cs="仿宋"/>
          <w:b w:val="0"/>
          <w:bCs/>
          <w:color w:val="auto"/>
          <w:kern w:val="0"/>
          <w:sz w:val="32"/>
          <w:szCs w:val="32"/>
          <w:lang w:val="en-US" w:eastAsia="zh-CN" w:bidi="ar-SA"/>
        </w:rPr>
        <w:t>”</w:t>
      </w:r>
      <w:r>
        <w:rPr>
          <w:rFonts w:hint="eastAsia" w:ascii="仿宋" w:hAnsi="仿宋" w:eastAsia="仿宋" w:cs="仿宋"/>
          <w:b w:val="0"/>
          <w:bCs/>
          <w:color w:val="auto"/>
          <w:kern w:val="0"/>
          <w:sz w:val="32"/>
          <w:szCs w:val="32"/>
          <w:lang w:val="en-US" w:eastAsia="zh-CN" w:bidi="ar-SA"/>
        </w:rPr>
        <w:t>有所不同，变更后更加准确与清晰。</w:t>
      </w:r>
    </w:p>
    <w:p>
      <w:pPr>
        <w:pStyle w:val="20"/>
        <w:numPr>
          <w:ilvl w:val="0"/>
          <w:numId w:val="5"/>
        </w:numPr>
        <w:ind w:firstLineChars="0"/>
        <w:outlineLvl w:val="1"/>
        <w:rPr>
          <w:rFonts w:ascii="楷体_GB2312" w:hAnsi="仿宋" w:eastAsia="楷体_GB2312" w:cs="Calibri"/>
          <w:b/>
          <w:sz w:val="32"/>
          <w:szCs w:val="32"/>
        </w:rPr>
      </w:pPr>
      <w:r>
        <w:rPr>
          <w:rFonts w:hint="eastAsia" w:ascii="楷体_GB2312" w:hAnsi="仿宋" w:eastAsia="楷体_GB2312" w:cs="Calibri"/>
          <w:b/>
          <w:sz w:val="32"/>
          <w:szCs w:val="32"/>
        </w:rPr>
        <w:t>标准结构框架及变更说明</w:t>
      </w:r>
    </w:p>
    <w:p>
      <w:pPr>
        <w:bidi w:val="0"/>
        <w:ind w:firstLine="640" w:firstLineChars="200"/>
        <w:rPr>
          <w:rFonts w:hint="default"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标准结构框架为：</w:t>
      </w:r>
      <w:r>
        <w:rPr>
          <w:rFonts w:hint="default" w:ascii="仿宋" w:hAnsi="仿宋" w:eastAsia="仿宋" w:cs="仿宋"/>
          <w:b w:val="0"/>
          <w:bCs/>
          <w:color w:val="auto"/>
          <w:kern w:val="0"/>
          <w:sz w:val="32"/>
          <w:szCs w:val="32"/>
          <w:lang w:val="en-US" w:eastAsia="zh-CN" w:bidi="ar-SA"/>
        </w:rPr>
        <w:t>“范围、规范性引用文件、术语和定义、</w:t>
      </w:r>
      <w:r>
        <w:rPr>
          <w:rFonts w:hint="eastAsia" w:ascii="仿宋" w:hAnsi="仿宋" w:eastAsia="仿宋" w:cs="仿宋"/>
          <w:b w:val="0"/>
          <w:bCs/>
          <w:color w:val="auto"/>
          <w:kern w:val="0"/>
          <w:sz w:val="32"/>
          <w:szCs w:val="32"/>
          <w:lang w:val="en-US" w:eastAsia="zh-CN" w:bidi="ar-SA"/>
        </w:rPr>
        <w:t>评价指标体系、计算方法</w:t>
      </w:r>
      <w:r>
        <w:rPr>
          <w:rFonts w:hint="default" w:ascii="仿宋" w:hAnsi="仿宋" w:eastAsia="仿宋" w:cs="仿宋"/>
          <w:b w:val="0"/>
          <w:bCs/>
          <w:color w:val="auto"/>
          <w:kern w:val="0"/>
          <w:sz w:val="32"/>
          <w:szCs w:val="32"/>
          <w:lang w:val="en-US" w:eastAsia="zh-CN" w:bidi="ar-SA"/>
        </w:rPr>
        <w:t>、</w:t>
      </w:r>
      <w:r>
        <w:rPr>
          <w:rFonts w:hint="eastAsia" w:ascii="仿宋" w:hAnsi="仿宋" w:eastAsia="仿宋" w:cs="仿宋"/>
          <w:b w:val="0"/>
          <w:bCs/>
          <w:color w:val="auto"/>
          <w:kern w:val="0"/>
          <w:sz w:val="32"/>
          <w:szCs w:val="32"/>
          <w:lang w:val="en-US" w:eastAsia="zh-CN" w:bidi="ar-SA"/>
        </w:rPr>
        <w:t>生态环境质量状况评价分级</w:t>
      </w:r>
      <w:r>
        <w:rPr>
          <w:rFonts w:hint="default" w:ascii="仿宋" w:hAnsi="仿宋" w:eastAsia="仿宋" w:cs="仿宋"/>
          <w:b w:val="0"/>
          <w:bCs/>
          <w:color w:val="auto"/>
          <w:kern w:val="0"/>
          <w:sz w:val="32"/>
          <w:szCs w:val="32"/>
          <w:lang w:val="en-US" w:eastAsia="zh-CN" w:bidi="ar-SA"/>
        </w:rPr>
        <w:t>”。</w:t>
      </w:r>
    </w:p>
    <w:p>
      <w:pPr>
        <w:ind w:firstLine="560"/>
        <w:rPr>
          <w:rFonts w:hint="default" w:ascii="楷体_GB2312" w:hAnsi="仿宋" w:eastAsia="楷体_GB2312" w:cs="Calibri"/>
          <w:b w:val="0"/>
          <w:bCs/>
          <w:sz w:val="32"/>
          <w:szCs w:val="32"/>
          <w:lang w:val="en-US" w:eastAsia="zh-CN"/>
        </w:rPr>
      </w:pPr>
      <w:r>
        <w:rPr>
          <w:rFonts w:hint="eastAsia" w:ascii="楷体_GB2312" w:hAnsi="仿宋" w:eastAsia="楷体_GB2312" w:cs="Calibri"/>
          <w:b w:val="0"/>
          <w:bCs/>
          <w:sz w:val="32"/>
          <w:szCs w:val="32"/>
          <w:lang w:val="en-US" w:eastAsia="zh-CN"/>
        </w:rPr>
        <w:t>与立项时区别不大。</w:t>
      </w:r>
    </w:p>
    <w:p>
      <w:pPr>
        <w:pStyle w:val="20"/>
        <w:numPr>
          <w:ilvl w:val="0"/>
          <w:numId w:val="5"/>
        </w:numPr>
        <w:ind w:firstLineChars="0"/>
        <w:outlineLvl w:val="1"/>
        <w:rPr>
          <w:rFonts w:ascii="楷体_GB2312" w:hAnsi="仿宋" w:eastAsia="楷体_GB2312" w:cs="Calibri"/>
          <w:b/>
          <w:sz w:val="32"/>
          <w:szCs w:val="32"/>
        </w:rPr>
      </w:pPr>
      <w:r>
        <w:rPr>
          <w:rFonts w:hint="eastAsia" w:ascii="黑体" w:hAnsi="黑体" w:eastAsia="黑体" w:cs="宋体"/>
          <w:bCs/>
          <w:sz w:val="32"/>
          <w:szCs w:val="32"/>
        </w:rPr>
        <w:t>专利等知识产权问题涉及情况</w:t>
      </w:r>
    </w:p>
    <w:p>
      <w:pPr>
        <w:ind w:firstLine="560"/>
        <w:rPr>
          <w:rFonts w:ascii="楷体_GB2312" w:hAnsi="仿宋" w:eastAsia="楷体_GB2312" w:cs="Calibri"/>
          <w:b/>
          <w:sz w:val="32"/>
          <w:szCs w:val="32"/>
        </w:rPr>
      </w:pPr>
      <w:r>
        <w:rPr>
          <w:rFonts w:hint="default" w:ascii="Times New Roman" w:hAnsi="Times New Roman" w:eastAsia="仿宋_GB2312" w:cs="Times New Roman"/>
          <w:kern w:val="0"/>
          <w:sz w:val="32"/>
          <w:szCs w:val="32"/>
          <w:lang w:val="en-US" w:eastAsia="zh-CN" w:bidi="ar-SA"/>
        </w:rPr>
        <w:t>该标准不涉及专利等知识产权问题。</w:t>
      </w:r>
    </w:p>
    <w:p>
      <w:pPr>
        <w:pStyle w:val="20"/>
        <w:numPr>
          <w:ilvl w:val="0"/>
          <w:numId w:val="5"/>
        </w:numPr>
        <w:ind w:firstLineChars="0"/>
        <w:outlineLvl w:val="1"/>
        <w:rPr>
          <w:rFonts w:ascii="楷体_GB2312" w:hAnsi="仿宋" w:eastAsia="楷体_GB2312" w:cs="Calibri"/>
          <w:b/>
          <w:sz w:val="32"/>
          <w:szCs w:val="32"/>
        </w:rPr>
      </w:pPr>
      <w:r>
        <w:rPr>
          <w:rFonts w:hint="eastAsia" w:ascii="楷体_GB2312" w:hAnsi="仿宋" w:eastAsia="楷体_GB2312" w:cs="Calibri"/>
          <w:b/>
          <w:sz w:val="32"/>
          <w:szCs w:val="32"/>
        </w:rPr>
        <w:t>其他需要补充的内容</w:t>
      </w:r>
    </w:p>
    <w:p>
      <w:pPr>
        <w:ind w:firstLine="560"/>
        <w:rPr>
          <w:rFonts w:hint="eastAsia" w:ascii="楷体_GB2312" w:hAnsi="仿宋" w:eastAsia="楷体_GB2312" w:cs="Calibri"/>
          <w:b w:val="0"/>
          <w:bCs/>
          <w:sz w:val="32"/>
          <w:szCs w:val="32"/>
          <w:lang w:val="en-US" w:eastAsia="zh-CN"/>
        </w:rPr>
      </w:pPr>
      <w:r>
        <w:rPr>
          <w:rFonts w:hint="eastAsia" w:ascii="楷体_GB2312" w:hAnsi="仿宋" w:eastAsia="楷体_GB2312" w:cs="Calibri"/>
          <w:b w:val="0"/>
          <w:bCs/>
          <w:sz w:val="32"/>
          <w:szCs w:val="32"/>
          <w:lang w:val="en-US" w:eastAsia="zh-CN"/>
        </w:rPr>
        <w:t>无</w:t>
      </w:r>
    </w:p>
    <w:p>
      <w:pPr>
        <w:pStyle w:val="20"/>
        <w:numPr>
          <w:ilvl w:val="0"/>
          <w:numId w:val="1"/>
        </w:numPr>
        <w:ind w:firstLineChars="0"/>
        <w:outlineLvl w:val="0"/>
        <w:rPr>
          <w:rFonts w:ascii="黑体" w:hAnsi="黑体" w:eastAsia="黑体" w:cs="宋体"/>
          <w:bCs/>
          <w:sz w:val="32"/>
          <w:szCs w:val="32"/>
        </w:rPr>
      </w:pPr>
      <w:r>
        <w:rPr>
          <w:rFonts w:hint="eastAsia" w:ascii="黑体" w:hAnsi="黑体" w:eastAsia="黑体" w:cs="宋体"/>
          <w:bCs/>
          <w:sz w:val="32"/>
          <w:szCs w:val="32"/>
        </w:rPr>
        <w:t>主要试验（或验证）的分析报告、相关技术和经济影响论证（必要时）</w:t>
      </w:r>
    </w:p>
    <w:p>
      <w:pPr>
        <w:ind w:firstLine="560"/>
        <w:rPr>
          <w:rFonts w:hint="eastAsia" w:ascii="黑体" w:hAnsi="黑体" w:eastAsia="黑体" w:cs="宋体"/>
          <w:b w:val="0"/>
          <w:bCs/>
          <w:sz w:val="32"/>
          <w:szCs w:val="32"/>
          <w:lang w:val="en-US" w:eastAsia="zh-CN"/>
        </w:rPr>
      </w:pPr>
      <w:r>
        <w:rPr>
          <w:rFonts w:hint="eastAsia" w:ascii="楷体_GB2312" w:hAnsi="仿宋" w:eastAsia="楷体_GB2312" w:cs="Calibri"/>
          <w:b w:val="0"/>
          <w:bCs/>
          <w:sz w:val="32"/>
          <w:szCs w:val="32"/>
          <w:lang w:val="en-US" w:eastAsia="zh-CN"/>
        </w:rPr>
        <w:t>无</w:t>
      </w:r>
    </w:p>
    <w:p>
      <w:pPr>
        <w:pStyle w:val="20"/>
        <w:numPr>
          <w:ilvl w:val="0"/>
          <w:numId w:val="1"/>
        </w:numPr>
        <w:ind w:firstLineChars="0"/>
        <w:outlineLvl w:val="0"/>
        <w:rPr>
          <w:rFonts w:ascii="黑体" w:hAnsi="黑体" w:eastAsia="黑体" w:cs="宋体"/>
          <w:bCs/>
          <w:sz w:val="32"/>
          <w:szCs w:val="32"/>
        </w:rPr>
      </w:pPr>
      <w:r>
        <w:rPr>
          <w:rFonts w:hint="eastAsia" w:ascii="黑体" w:hAnsi="黑体" w:eastAsia="黑体" w:cs="宋体"/>
          <w:bCs/>
          <w:sz w:val="32"/>
          <w:szCs w:val="32"/>
        </w:rPr>
        <w:t>标准实施的情况说明</w:t>
      </w:r>
    </w:p>
    <w:p>
      <w:pPr>
        <w:pStyle w:val="20"/>
        <w:numPr>
          <w:ilvl w:val="0"/>
          <w:numId w:val="6"/>
        </w:numPr>
        <w:ind w:firstLineChars="0"/>
        <w:outlineLvl w:val="0"/>
        <w:rPr>
          <w:rFonts w:ascii="黑体" w:hAnsi="黑体" w:eastAsia="黑体" w:cs="宋体"/>
          <w:bCs/>
          <w:sz w:val="32"/>
          <w:szCs w:val="32"/>
        </w:rPr>
      </w:pPr>
      <w:r>
        <w:rPr>
          <w:rFonts w:hint="eastAsia" w:ascii="黑体" w:hAnsi="黑体" w:eastAsia="黑体" w:cs="宋体"/>
          <w:bCs/>
          <w:sz w:val="32"/>
          <w:szCs w:val="32"/>
        </w:rPr>
        <w:t>预期的社会经济效益</w:t>
      </w:r>
    </w:p>
    <w:p>
      <w:pPr>
        <w:pStyle w:val="20"/>
        <w:numPr>
          <w:ilvl w:val="0"/>
          <w:numId w:val="0"/>
        </w:numPr>
        <w:ind w:firstLine="640" w:firstLineChars="200"/>
        <w:outlineLvl w:val="0"/>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w:t>
      </w:r>
      <w:r>
        <w:rPr>
          <w:rFonts w:hint="default" w:ascii="Times New Roman" w:hAnsi="Times New Roman" w:eastAsia="仿宋_GB2312" w:cs="Times New Roman"/>
          <w:kern w:val="0"/>
          <w:sz w:val="32"/>
          <w:szCs w:val="32"/>
          <w:lang w:val="en-US" w:eastAsia="zh-CN" w:bidi="ar-SA"/>
        </w:rPr>
        <w:t>通过生态环境质量与财政奖补资金的动态挂钩机制，形成“以评促建”的良性循环。目前丽水市每年绿色奖补资金规模约10-14亿元，经模型测算，若生态环境质量综合指数（EQCI）提升1个百分点，奖补资金可定向增加约1000万元。</w:t>
      </w:r>
    </w:p>
    <w:p>
      <w:pPr>
        <w:pStyle w:val="20"/>
        <w:numPr>
          <w:ilvl w:val="0"/>
          <w:numId w:val="0"/>
        </w:numPr>
        <w:ind w:firstLine="640" w:firstLineChars="200"/>
        <w:outlineLvl w:val="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2.提升生态环境治理效能，构建“监测-评价-决策”一体化平台，可科学对市域内的生态环境质量进行评价，对美丽丽水区域经济发展和可持续发展有着极大的推进作用。</w:t>
      </w:r>
    </w:p>
    <w:p>
      <w:pPr>
        <w:ind w:firstLine="560"/>
        <w:rPr>
          <w:rFonts w:ascii="黑体" w:hAnsi="黑体" w:eastAsia="黑体" w:cs="宋体"/>
          <w:bCs/>
          <w:sz w:val="32"/>
          <w:szCs w:val="32"/>
        </w:rPr>
      </w:pPr>
      <w:r>
        <w:rPr>
          <w:rFonts w:hint="eastAsia" w:ascii="楷体_GB2312" w:hAnsi="仿宋" w:eastAsia="楷体_GB2312" w:cs="Calibri"/>
          <w:b w:val="0"/>
          <w:bCs/>
          <w:sz w:val="32"/>
          <w:szCs w:val="32"/>
          <w:lang w:val="en-US" w:eastAsia="zh-CN"/>
        </w:rPr>
        <w:t>3.</w:t>
      </w:r>
      <w:r>
        <w:rPr>
          <w:rFonts w:hint="eastAsia" w:ascii="Times New Roman" w:hAnsi="Times New Roman" w:eastAsia="仿宋_GB2312" w:cs="Times New Roman"/>
          <w:kern w:val="0"/>
          <w:sz w:val="32"/>
          <w:szCs w:val="32"/>
          <w:lang w:val="en-US" w:eastAsia="zh-CN" w:bidi="ar-SA"/>
        </w:rPr>
        <w:t>践行</w:t>
      </w:r>
      <w:r>
        <w:rPr>
          <w:rFonts w:hint="eastAsia" w:ascii="Times New Roman" w:hAnsi="Times New Roman" w:eastAsia="仿宋_GB2312" w:cs="Times New Roman"/>
          <w:b w:val="0"/>
          <w:bCs w:val="0"/>
          <w:i w:val="0"/>
          <w:iCs w:val="0"/>
          <w:caps w:val="0"/>
          <w:color w:val="auto"/>
          <w:spacing w:val="0"/>
          <w:kern w:val="2"/>
          <w:sz w:val="32"/>
          <w:szCs w:val="32"/>
          <w:lang w:val="en-US" w:eastAsia="zh-CN" w:bidi="ar-SA"/>
        </w:rPr>
        <w:t>习近平总书记</w:t>
      </w:r>
      <w:r>
        <w:rPr>
          <w:rFonts w:hint="eastAsia" w:ascii="Times New Roman" w:hAnsi="Times New Roman" w:eastAsia="仿宋_GB2312" w:cs="Times New Roman"/>
          <w:kern w:val="0"/>
          <w:sz w:val="32"/>
          <w:szCs w:val="32"/>
          <w:lang w:val="en-US" w:eastAsia="zh-CN" w:bidi="ar-SA"/>
        </w:rPr>
        <w:t>提出的“绿水青山就是金山银山”理论的重要体现，可以更有效地落实绿色发展理念，促进地区的可持续发展，促进美丽丽水的建设，进一步提升全民生态文明水平。</w:t>
      </w:r>
    </w:p>
    <w:p>
      <w:pPr>
        <w:pStyle w:val="20"/>
        <w:numPr>
          <w:ilvl w:val="0"/>
          <w:numId w:val="6"/>
        </w:numPr>
        <w:ind w:firstLineChars="0"/>
        <w:outlineLvl w:val="0"/>
        <w:rPr>
          <w:rFonts w:ascii="黑体" w:hAnsi="黑体" w:eastAsia="黑体" w:cs="宋体"/>
          <w:bCs/>
          <w:sz w:val="32"/>
          <w:szCs w:val="32"/>
        </w:rPr>
      </w:pPr>
      <w:r>
        <w:rPr>
          <w:rFonts w:hint="eastAsia" w:ascii="黑体" w:hAnsi="黑体" w:eastAsia="黑体" w:cs="宋体"/>
          <w:bCs/>
          <w:sz w:val="32"/>
          <w:szCs w:val="32"/>
        </w:rPr>
        <w:t>贯彻实施标准的要求和措施等建议</w:t>
      </w:r>
    </w:p>
    <w:p>
      <w:pPr>
        <w:ind w:firstLine="640"/>
        <w:rPr>
          <w:rFonts w:ascii="黑体" w:hAnsi="黑体" w:eastAsia="黑体" w:cs="宋体"/>
          <w:bCs/>
          <w:sz w:val="32"/>
          <w:szCs w:val="32"/>
        </w:rPr>
      </w:pPr>
      <w:r>
        <w:rPr>
          <w:rFonts w:hint="default" w:ascii="Times New Roman" w:hAnsi="Times New Roman" w:eastAsia="仿宋_GB2312" w:cs="Times New Roman"/>
          <w:kern w:val="0"/>
          <w:sz w:val="32"/>
          <w:szCs w:val="32"/>
          <w:lang w:val="en-US" w:eastAsia="zh-CN" w:bidi="ar-SA"/>
        </w:rPr>
        <w:t>该标准制定实施可强化生态环境监测数据综合评价，健全生态环境监测评价、排名、预警和公开制度，改进空气、地表水等环境质量评价排名技术规定，体现了科学发展的要求，强化了地方党政领导追求绿色发展的理念。建议积极推广、宣传该标准，通过政府部门等组织开展相关会议或培训，推动该标准实施</w:t>
      </w:r>
      <w:r>
        <w:rPr>
          <w:rFonts w:hint="eastAsia" w:ascii="Times New Roman" w:hAnsi="Times New Roman" w:eastAsia="仿宋_GB2312" w:cs="Times New Roman"/>
          <w:kern w:val="0"/>
          <w:sz w:val="32"/>
          <w:szCs w:val="32"/>
          <w:lang w:val="en-US" w:eastAsia="zh-CN" w:bidi="ar-SA"/>
        </w:rPr>
        <w:t>，为国家生态环境管理提供丽水经验、丽水样板。</w:t>
      </w:r>
    </w:p>
    <w:p>
      <w:pPr>
        <w:pStyle w:val="20"/>
        <w:numPr>
          <w:ilvl w:val="0"/>
          <w:numId w:val="6"/>
        </w:numPr>
        <w:ind w:firstLineChars="0"/>
        <w:outlineLvl w:val="0"/>
        <w:rPr>
          <w:rFonts w:ascii="黑体" w:hAnsi="黑体" w:eastAsia="黑体" w:cs="宋体"/>
          <w:bCs/>
          <w:sz w:val="32"/>
          <w:szCs w:val="32"/>
        </w:rPr>
      </w:pPr>
      <w:r>
        <w:rPr>
          <w:rFonts w:ascii="黑体" w:hAnsi="黑体" w:eastAsia="黑体" w:cs="宋体"/>
          <w:bCs/>
          <w:sz w:val="32"/>
          <w:szCs w:val="32"/>
        </w:rPr>
        <w:t>废止现行有关标准的建议</w:t>
      </w:r>
    </w:p>
    <w:p>
      <w:pPr>
        <w:ind w:firstLine="640" w:firstLineChars="200"/>
        <w:outlineLvl w:val="0"/>
        <w:rPr>
          <w:rFonts w:ascii="仿宋_GB2312" w:hAnsi="仿宋" w:eastAsia="仿宋_GB2312" w:cs="宋体"/>
          <w:kern w:val="0"/>
          <w:sz w:val="32"/>
          <w:szCs w:val="32"/>
        </w:rPr>
      </w:pPr>
      <w:r>
        <w:rPr>
          <w:rFonts w:hint="eastAsia" w:ascii="仿宋_GB2312" w:hAnsi="仿宋" w:eastAsia="仿宋_GB2312" w:cs="宋体"/>
          <w:kern w:val="0"/>
          <w:sz w:val="32"/>
          <w:szCs w:val="32"/>
        </w:rPr>
        <w:t>该标准制定实施后，无需废止其它标准。</w:t>
      </w:r>
    </w:p>
    <w:p>
      <w:pPr>
        <w:pStyle w:val="20"/>
        <w:numPr>
          <w:ilvl w:val="0"/>
          <w:numId w:val="1"/>
        </w:numPr>
        <w:ind w:firstLineChars="0"/>
        <w:outlineLvl w:val="0"/>
        <w:rPr>
          <w:rFonts w:ascii="黑体" w:hAnsi="黑体" w:eastAsia="黑体" w:cs="宋体"/>
          <w:bCs/>
          <w:sz w:val="32"/>
          <w:szCs w:val="32"/>
        </w:rPr>
      </w:pPr>
      <w:r>
        <w:rPr>
          <w:rFonts w:ascii="黑体" w:hAnsi="黑体" w:eastAsia="黑体" w:cs="宋体"/>
          <w:bCs/>
          <w:sz w:val="32"/>
          <w:szCs w:val="32"/>
        </w:rPr>
        <w:t>重大意见分歧的处理依据和结果</w:t>
      </w:r>
    </w:p>
    <w:p>
      <w:pPr>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该标准制订过程中</w:t>
      </w:r>
      <w:r>
        <w:rPr>
          <w:rFonts w:hint="eastAsia" w:ascii="仿宋_GB2312" w:hAnsi="仿宋" w:eastAsia="仿宋_GB2312" w:cs="宋体"/>
          <w:kern w:val="0"/>
          <w:sz w:val="32"/>
          <w:szCs w:val="32"/>
        </w:rPr>
        <w:t>，</w:t>
      </w:r>
      <w:r>
        <w:rPr>
          <w:rFonts w:ascii="仿宋_GB2312" w:hAnsi="仿宋" w:eastAsia="仿宋_GB2312" w:cs="宋体"/>
          <w:kern w:val="0"/>
          <w:sz w:val="32"/>
          <w:szCs w:val="32"/>
        </w:rPr>
        <w:t>未出现重大意见分歧</w:t>
      </w:r>
      <w:r>
        <w:rPr>
          <w:rFonts w:hint="eastAsia" w:ascii="仿宋_GB2312" w:hAnsi="仿宋" w:eastAsia="仿宋_GB2312" w:cs="宋体"/>
          <w:kern w:val="0"/>
          <w:sz w:val="32"/>
          <w:szCs w:val="32"/>
        </w:rPr>
        <w:t>。</w:t>
      </w:r>
    </w:p>
    <w:p>
      <w:pPr>
        <w:pStyle w:val="20"/>
        <w:numPr>
          <w:ilvl w:val="0"/>
          <w:numId w:val="1"/>
        </w:numPr>
        <w:ind w:firstLineChars="0"/>
        <w:outlineLvl w:val="0"/>
        <w:rPr>
          <w:rFonts w:ascii="黑体" w:hAnsi="黑体" w:eastAsia="黑体" w:cs="宋体"/>
          <w:bCs/>
          <w:sz w:val="32"/>
          <w:szCs w:val="32"/>
        </w:rPr>
      </w:pPr>
      <w:r>
        <w:rPr>
          <w:rFonts w:ascii="黑体" w:hAnsi="黑体" w:eastAsia="黑体" w:cs="宋体"/>
          <w:bCs/>
          <w:sz w:val="32"/>
          <w:szCs w:val="32"/>
        </w:rPr>
        <w:t>其它应</w:t>
      </w:r>
      <w:r>
        <w:rPr>
          <w:rFonts w:hint="eastAsia" w:ascii="黑体" w:hAnsi="黑体" w:eastAsia="黑体" w:cs="宋体"/>
          <w:bCs/>
          <w:sz w:val="32"/>
          <w:szCs w:val="32"/>
        </w:rPr>
        <w:t>当</w:t>
      </w:r>
      <w:r>
        <w:rPr>
          <w:rFonts w:ascii="黑体" w:hAnsi="黑体" w:eastAsia="黑体" w:cs="宋体"/>
          <w:bCs/>
          <w:sz w:val="32"/>
          <w:szCs w:val="32"/>
        </w:rPr>
        <w:t>说明的</w:t>
      </w:r>
      <w:r>
        <w:rPr>
          <w:rFonts w:hint="eastAsia" w:ascii="黑体" w:hAnsi="黑体" w:eastAsia="黑体" w:cs="宋体"/>
          <w:bCs/>
          <w:sz w:val="32"/>
          <w:szCs w:val="32"/>
        </w:rPr>
        <w:t>事项</w:t>
      </w:r>
    </w:p>
    <w:p>
      <w:pPr>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无其它予以说明的问题。</w:t>
      </w:r>
    </w:p>
    <w:p>
      <w:pPr>
        <w:jc w:val="center"/>
      </w:pPr>
    </w:p>
    <w:p>
      <w:pPr>
        <w:jc w:val="center"/>
      </w:pPr>
    </w:p>
    <w:p>
      <w:pPr>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附件：1. </w:t>
      </w:r>
      <w:r>
        <w:rPr>
          <w:rFonts w:hint="eastAsia" w:ascii="仿宋_GB2312" w:hAnsi="仿宋" w:eastAsia="仿宋_GB2312" w:cs="宋体"/>
          <w:kern w:val="0"/>
          <w:sz w:val="32"/>
          <w:szCs w:val="32"/>
          <w:lang w:val="en-US" w:eastAsia="zh-CN"/>
        </w:rPr>
        <w:t>2025</w:t>
      </w:r>
      <w:r>
        <w:rPr>
          <w:rFonts w:hint="eastAsia" w:ascii="仿宋_GB2312" w:hAnsi="仿宋" w:eastAsia="仿宋_GB2312" w:cs="宋体"/>
          <w:kern w:val="0"/>
          <w:sz w:val="32"/>
          <w:szCs w:val="32"/>
        </w:rPr>
        <w:t>年丽水市地方标准征求意见汇总表</w:t>
      </w:r>
    </w:p>
    <w:p>
      <w:pPr>
        <w:numPr>
          <w:ilvl w:val="0"/>
          <w:numId w:val="7"/>
        </w:numPr>
        <w:ind w:left="1600" w:leftChars="0" w:firstLine="0" w:firstLineChars="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2025</w:t>
      </w:r>
      <w:r>
        <w:rPr>
          <w:rFonts w:hint="eastAsia" w:ascii="仿宋_GB2312" w:hAnsi="仿宋" w:eastAsia="仿宋_GB2312" w:cs="宋体"/>
          <w:kern w:val="0"/>
          <w:sz w:val="32"/>
          <w:szCs w:val="32"/>
        </w:rPr>
        <w:t>年丽水市地方标准征求意见处理表</w:t>
      </w:r>
    </w:p>
    <w:p>
      <w:pPr>
        <w:pStyle w:val="2"/>
        <w:widowControl w:val="0"/>
        <w:numPr>
          <w:ilvl w:val="0"/>
          <w:numId w:val="0"/>
        </w:numPr>
        <w:spacing w:line="360" w:lineRule="exact"/>
        <w:jc w:val="both"/>
      </w:pPr>
    </w:p>
    <w:p>
      <w:pPr>
        <w:pStyle w:val="2"/>
        <w:widowControl w:val="0"/>
        <w:numPr>
          <w:ilvl w:val="0"/>
          <w:numId w:val="0"/>
        </w:numPr>
        <w:spacing w:line="360" w:lineRule="exact"/>
        <w:jc w:val="both"/>
      </w:pPr>
    </w:p>
    <w:p>
      <w:pPr>
        <w:pStyle w:val="2"/>
        <w:widowControl w:val="0"/>
        <w:numPr>
          <w:ilvl w:val="0"/>
          <w:numId w:val="0"/>
        </w:numPr>
        <w:spacing w:line="360" w:lineRule="exact"/>
        <w:jc w:val="both"/>
      </w:pPr>
    </w:p>
    <w:p>
      <w:pPr>
        <w:pStyle w:val="2"/>
        <w:widowControl w:val="0"/>
        <w:numPr>
          <w:ilvl w:val="0"/>
          <w:numId w:val="0"/>
        </w:numPr>
        <w:spacing w:line="360" w:lineRule="exact"/>
        <w:jc w:val="both"/>
      </w:pPr>
    </w:p>
    <w:p>
      <w:pPr>
        <w:pStyle w:val="2"/>
        <w:widowControl w:val="0"/>
        <w:numPr>
          <w:ilvl w:val="0"/>
          <w:numId w:val="0"/>
        </w:numPr>
        <w:spacing w:line="360" w:lineRule="exact"/>
        <w:jc w:val="both"/>
      </w:pPr>
    </w:p>
    <w:p>
      <w:pPr>
        <w:pStyle w:val="2"/>
        <w:widowControl w:val="0"/>
        <w:numPr>
          <w:ilvl w:val="0"/>
          <w:numId w:val="0"/>
        </w:numPr>
        <w:spacing w:line="360" w:lineRule="exact"/>
        <w:jc w:val="both"/>
      </w:pPr>
    </w:p>
    <w:p>
      <w:pPr>
        <w:pStyle w:val="2"/>
        <w:widowControl w:val="0"/>
        <w:numPr>
          <w:ilvl w:val="0"/>
          <w:numId w:val="0"/>
        </w:numPr>
        <w:spacing w:line="360" w:lineRule="exact"/>
        <w:jc w:val="both"/>
      </w:pPr>
    </w:p>
    <w:p>
      <w:pPr>
        <w:pStyle w:val="2"/>
        <w:widowControl w:val="0"/>
        <w:numPr>
          <w:ilvl w:val="0"/>
          <w:numId w:val="0"/>
        </w:numPr>
        <w:spacing w:line="360" w:lineRule="exact"/>
        <w:jc w:val="both"/>
      </w:pPr>
    </w:p>
    <w:p>
      <w:pPr>
        <w:pStyle w:val="2"/>
        <w:widowControl w:val="0"/>
        <w:numPr>
          <w:ilvl w:val="0"/>
          <w:numId w:val="0"/>
        </w:numPr>
        <w:spacing w:line="360" w:lineRule="exact"/>
        <w:jc w:val="both"/>
      </w:pPr>
    </w:p>
    <w:p>
      <w:pPr>
        <w:pStyle w:val="2"/>
        <w:widowControl w:val="0"/>
        <w:numPr>
          <w:ilvl w:val="0"/>
          <w:numId w:val="0"/>
        </w:numPr>
        <w:spacing w:line="360" w:lineRule="exact"/>
        <w:jc w:val="both"/>
      </w:pPr>
    </w:p>
    <w:p>
      <w:pPr>
        <w:pStyle w:val="2"/>
        <w:widowControl w:val="0"/>
        <w:numPr>
          <w:ilvl w:val="0"/>
          <w:numId w:val="0"/>
        </w:numPr>
        <w:spacing w:line="360" w:lineRule="exact"/>
        <w:jc w:val="both"/>
      </w:pPr>
    </w:p>
    <w:p>
      <w:pPr>
        <w:pStyle w:val="2"/>
        <w:widowControl w:val="0"/>
        <w:numPr>
          <w:ilvl w:val="0"/>
          <w:numId w:val="0"/>
        </w:numPr>
        <w:spacing w:line="360" w:lineRule="exact"/>
        <w:jc w:val="both"/>
      </w:pPr>
    </w:p>
    <w:p>
      <w:pPr>
        <w:pStyle w:val="2"/>
        <w:widowControl w:val="0"/>
        <w:numPr>
          <w:ilvl w:val="0"/>
          <w:numId w:val="0"/>
        </w:numPr>
        <w:spacing w:line="360" w:lineRule="exact"/>
        <w:jc w:val="both"/>
        <w:sectPr>
          <w:footerReference r:id="rId3" w:type="default"/>
          <w:pgSz w:w="11906" w:h="16838"/>
          <w:pgMar w:top="720" w:right="720" w:bottom="720" w:left="720" w:header="851" w:footer="992" w:gutter="0"/>
          <w:pgNumType w:fmt="decimal"/>
          <w:cols w:space="425" w:num="1"/>
          <w:docGrid w:type="lines" w:linePitch="381" w:charSpace="0"/>
        </w:sectPr>
      </w:pPr>
    </w:p>
    <w:p>
      <w:pPr>
        <w:pStyle w:val="2"/>
        <w:widowControl w:val="0"/>
        <w:numPr>
          <w:ilvl w:val="0"/>
          <w:numId w:val="0"/>
        </w:numPr>
        <w:spacing w:line="360" w:lineRule="exact"/>
        <w:jc w:val="both"/>
      </w:pPr>
    </w:p>
    <w:p>
      <w:pPr>
        <w:outlineLvl w:val="0"/>
        <w:rPr>
          <w:rFonts w:ascii="黑体" w:hAnsi="黑体" w:eastAsia="黑体"/>
          <w:sz w:val="30"/>
          <w:szCs w:val="30"/>
        </w:rPr>
      </w:pPr>
      <w:r>
        <w:rPr>
          <w:rFonts w:hint="eastAsia" w:ascii="黑体" w:hAnsi="黑体" w:eastAsia="黑体"/>
          <w:sz w:val="30"/>
          <w:szCs w:val="30"/>
        </w:rPr>
        <w:t>附件</w:t>
      </w:r>
      <w:r>
        <w:rPr>
          <w:rFonts w:hint="eastAsia" w:ascii="黑体" w:hAnsi="黑体" w:eastAsia="黑体"/>
          <w:sz w:val="30"/>
          <w:szCs w:val="30"/>
          <w:u w:val="single"/>
        </w:rPr>
        <w:t xml:space="preserve"> 1 </w:t>
      </w:r>
      <w:r>
        <w:rPr>
          <w:rFonts w:hint="eastAsia" w:ascii="黑体" w:hAnsi="黑体" w:eastAsia="黑体"/>
          <w:sz w:val="30"/>
          <w:szCs w:val="30"/>
        </w:rPr>
        <w:t xml:space="preserve">：     </w:t>
      </w:r>
    </w:p>
    <w:p>
      <w:pPr>
        <w:jc w:val="center"/>
        <w:rPr>
          <w:rFonts w:ascii="黑体" w:hAnsi="仿宋" w:eastAsia="黑体"/>
          <w:sz w:val="32"/>
          <w:szCs w:val="32"/>
        </w:rPr>
      </w:pPr>
      <w:r>
        <w:rPr>
          <w:rFonts w:hint="eastAsia" w:ascii="黑体" w:hAnsi="仿宋" w:eastAsia="黑体"/>
          <w:sz w:val="32"/>
          <w:szCs w:val="32"/>
          <w:lang w:val="en-US" w:eastAsia="zh-CN"/>
        </w:rPr>
        <w:t>2025</w:t>
      </w:r>
      <w:r>
        <w:rPr>
          <w:rFonts w:hint="eastAsia" w:ascii="黑体" w:hAnsi="仿宋" w:eastAsia="黑体"/>
          <w:sz w:val="32"/>
          <w:szCs w:val="32"/>
        </w:rPr>
        <w:t>年丽水市地方标准征求意见汇总表</w:t>
      </w:r>
    </w:p>
    <w:tbl>
      <w:tblPr>
        <w:tblStyle w:val="15"/>
        <w:tblW w:w="15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902"/>
        <w:gridCol w:w="2693"/>
        <w:gridCol w:w="2798"/>
        <w:gridCol w:w="1880"/>
        <w:gridCol w:w="2551"/>
        <w:gridCol w:w="2290"/>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4133" w:type="dxa"/>
            <w:gridSpan w:val="3"/>
            <w:vAlign w:val="center"/>
          </w:tcPr>
          <w:p>
            <w:pPr>
              <w:spacing w:line="0" w:lineRule="atLeast"/>
              <w:jc w:val="center"/>
              <w:rPr>
                <w:rFonts w:ascii="黑体" w:hAnsi="黑体" w:eastAsia="黑体"/>
              </w:rPr>
            </w:pPr>
            <w:r>
              <w:rPr>
                <w:rFonts w:hint="eastAsia" w:ascii="黑体" w:hAnsi="黑体" w:eastAsia="黑体"/>
              </w:rPr>
              <w:t>标 准 项 目 名 称</w:t>
            </w:r>
          </w:p>
        </w:tc>
        <w:tc>
          <w:tcPr>
            <w:tcW w:w="11308" w:type="dxa"/>
            <w:gridSpan w:val="5"/>
            <w:vAlign w:val="center"/>
          </w:tcPr>
          <w:p>
            <w:pPr>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538" w:type="dxa"/>
            <w:vAlign w:val="center"/>
          </w:tcPr>
          <w:p>
            <w:pPr>
              <w:spacing w:line="0" w:lineRule="atLeast"/>
              <w:jc w:val="center"/>
              <w:rPr>
                <w:rFonts w:ascii="黑体" w:hAnsi="黑体" w:eastAsia="黑体"/>
              </w:rPr>
            </w:pPr>
            <w:r>
              <w:rPr>
                <w:rFonts w:hint="eastAsia" w:ascii="黑体" w:hAnsi="黑体" w:eastAsia="黑体"/>
              </w:rPr>
              <w:t>序号</w:t>
            </w:r>
          </w:p>
        </w:tc>
        <w:tc>
          <w:tcPr>
            <w:tcW w:w="902" w:type="dxa"/>
            <w:vAlign w:val="center"/>
          </w:tcPr>
          <w:p>
            <w:pPr>
              <w:spacing w:line="0" w:lineRule="atLeast"/>
              <w:jc w:val="center"/>
              <w:rPr>
                <w:rFonts w:ascii="黑体" w:hAnsi="黑体" w:eastAsia="黑体"/>
              </w:rPr>
            </w:pPr>
            <w:r>
              <w:rPr>
                <w:rFonts w:hint="eastAsia" w:ascii="黑体" w:hAnsi="黑体" w:eastAsia="黑体"/>
              </w:rPr>
              <w:t>章条编号</w:t>
            </w:r>
          </w:p>
        </w:tc>
        <w:tc>
          <w:tcPr>
            <w:tcW w:w="2693" w:type="dxa"/>
            <w:vAlign w:val="center"/>
          </w:tcPr>
          <w:p>
            <w:pPr>
              <w:widowControl/>
              <w:jc w:val="center"/>
              <w:rPr>
                <w:rFonts w:ascii="黑体" w:hAnsi="黑体" w:eastAsia="黑体"/>
              </w:rPr>
            </w:pPr>
            <w:r>
              <w:rPr>
                <w:rFonts w:hint="eastAsia" w:ascii="黑体" w:hAnsi="黑体" w:eastAsia="黑体"/>
              </w:rPr>
              <w:t>原  稿</w:t>
            </w:r>
          </w:p>
          <w:p>
            <w:pPr>
              <w:spacing w:line="0" w:lineRule="atLeast"/>
              <w:jc w:val="center"/>
              <w:rPr>
                <w:rFonts w:ascii="仿宋_GB2312" w:hAnsi="黑体"/>
                <w:b/>
              </w:rPr>
            </w:pPr>
            <w:r>
              <w:rPr>
                <w:rFonts w:hint="eastAsia" w:ascii="黑体" w:hAnsi="黑体" w:eastAsia="黑体"/>
              </w:rPr>
              <w:t>标题名称+条款内容</w:t>
            </w:r>
          </w:p>
        </w:tc>
        <w:tc>
          <w:tcPr>
            <w:tcW w:w="2798" w:type="dxa"/>
            <w:vAlign w:val="center"/>
          </w:tcPr>
          <w:p>
            <w:pPr>
              <w:spacing w:line="0" w:lineRule="atLeast"/>
              <w:jc w:val="center"/>
              <w:rPr>
                <w:rFonts w:ascii="黑体" w:hAnsi="黑体" w:eastAsia="黑体"/>
              </w:rPr>
            </w:pPr>
            <w:r>
              <w:rPr>
                <w:rFonts w:hint="eastAsia" w:ascii="黑体" w:hAnsi="黑体" w:eastAsia="黑体"/>
              </w:rPr>
              <w:t>修改建议/意见</w:t>
            </w:r>
          </w:p>
        </w:tc>
        <w:tc>
          <w:tcPr>
            <w:tcW w:w="1880" w:type="dxa"/>
            <w:vAlign w:val="center"/>
          </w:tcPr>
          <w:p>
            <w:pPr>
              <w:spacing w:line="0" w:lineRule="atLeast"/>
              <w:jc w:val="center"/>
              <w:rPr>
                <w:rFonts w:ascii="黑体" w:hAnsi="黑体" w:eastAsia="黑体"/>
              </w:rPr>
            </w:pPr>
            <w:r>
              <w:rPr>
                <w:rFonts w:hint="eastAsia" w:ascii="黑体" w:hAnsi="黑体" w:eastAsia="黑体"/>
              </w:rPr>
              <w:t>修改理由</w:t>
            </w:r>
          </w:p>
        </w:tc>
        <w:tc>
          <w:tcPr>
            <w:tcW w:w="2551" w:type="dxa"/>
            <w:vAlign w:val="center"/>
          </w:tcPr>
          <w:p>
            <w:pPr>
              <w:spacing w:line="0" w:lineRule="atLeast"/>
              <w:jc w:val="center"/>
              <w:rPr>
                <w:rFonts w:ascii="黑体" w:hAnsi="黑体" w:eastAsia="黑体"/>
              </w:rPr>
            </w:pPr>
            <w:r>
              <w:rPr>
                <w:rFonts w:hint="eastAsia" w:ascii="黑体" w:hAnsi="黑体" w:eastAsia="黑体"/>
              </w:rPr>
              <w:t>提出单位（处室）名称/个人姓名</w:t>
            </w:r>
          </w:p>
        </w:tc>
        <w:tc>
          <w:tcPr>
            <w:tcW w:w="2290" w:type="dxa"/>
            <w:vAlign w:val="center"/>
          </w:tcPr>
          <w:p>
            <w:pPr>
              <w:spacing w:line="0" w:lineRule="atLeast"/>
              <w:jc w:val="center"/>
              <w:rPr>
                <w:rFonts w:ascii="黑体" w:hAnsi="黑体" w:eastAsia="黑体"/>
              </w:rPr>
            </w:pPr>
            <w:r>
              <w:rPr>
                <w:rFonts w:hint="eastAsia" w:ascii="黑体" w:hAnsi="黑体" w:eastAsia="黑体"/>
              </w:rPr>
              <w:t xml:space="preserve">处理意见 </w:t>
            </w:r>
          </w:p>
          <w:p>
            <w:pPr>
              <w:spacing w:line="0" w:lineRule="atLeast"/>
              <w:jc w:val="center"/>
              <w:rPr>
                <w:rFonts w:ascii="黑体" w:hAnsi="黑体" w:eastAsia="黑体"/>
              </w:rPr>
            </w:pPr>
            <w:r>
              <w:rPr>
                <w:rFonts w:hint="eastAsia" w:ascii="黑体" w:hAnsi="黑体" w:eastAsia="黑体"/>
              </w:rPr>
              <w:t>(采纳/未采纳)</w:t>
            </w:r>
          </w:p>
        </w:tc>
        <w:tc>
          <w:tcPr>
            <w:tcW w:w="1789" w:type="dxa"/>
            <w:vAlign w:val="center"/>
          </w:tcPr>
          <w:p>
            <w:pPr>
              <w:jc w:val="center"/>
              <w:rPr>
                <w:rFonts w:ascii="黑体" w:hAnsi="黑体" w:eastAsia="黑体"/>
              </w:rPr>
            </w:pPr>
            <w:r>
              <w:rPr>
                <w:rFonts w:hint="eastAsia" w:ascii="黑体" w:hAnsi="黑体" w:eastAsia="黑体"/>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538" w:type="dxa"/>
          </w:tcPr>
          <w:p>
            <w:pPr>
              <w:spacing w:line="0" w:lineRule="atLeast"/>
              <w:jc w:val="left"/>
              <w:rPr>
                <w:rFonts w:ascii="宋体" w:hAnsi="宋体" w:eastAsia="宋体"/>
                <w:sz w:val="30"/>
                <w:szCs w:val="30"/>
              </w:rPr>
            </w:pPr>
          </w:p>
        </w:tc>
        <w:tc>
          <w:tcPr>
            <w:tcW w:w="902" w:type="dxa"/>
          </w:tcPr>
          <w:p>
            <w:pPr>
              <w:spacing w:line="0" w:lineRule="atLeast"/>
              <w:jc w:val="left"/>
              <w:rPr>
                <w:rFonts w:ascii="宋体" w:hAnsi="宋体" w:eastAsia="宋体"/>
                <w:sz w:val="30"/>
                <w:szCs w:val="30"/>
              </w:rPr>
            </w:pPr>
          </w:p>
        </w:tc>
        <w:tc>
          <w:tcPr>
            <w:tcW w:w="2693" w:type="dxa"/>
          </w:tcPr>
          <w:p>
            <w:pPr>
              <w:spacing w:line="0" w:lineRule="atLeast"/>
              <w:jc w:val="left"/>
              <w:rPr>
                <w:rFonts w:ascii="宋体" w:hAnsi="宋体" w:eastAsia="宋体"/>
                <w:sz w:val="30"/>
                <w:szCs w:val="30"/>
              </w:rPr>
            </w:pPr>
          </w:p>
        </w:tc>
        <w:tc>
          <w:tcPr>
            <w:tcW w:w="2798" w:type="dxa"/>
          </w:tcPr>
          <w:p>
            <w:pPr>
              <w:spacing w:line="0" w:lineRule="atLeast"/>
              <w:jc w:val="left"/>
              <w:rPr>
                <w:rFonts w:ascii="宋体" w:hAnsi="宋体" w:eastAsia="宋体"/>
                <w:sz w:val="30"/>
                <w:szCs w:val="30"/>
              </w:rPr>
            </w:pPr>
          </w:p>
        </w:tc>
        <w:tc>
          <w:tcPr>
            <w:tcW w:w="1880" w:type="dxa"/>
          </w:tcPr>
          <w:p>
            <w:pPr>
              <w:spacing w:line="0" w:lineRule="atLeast"/>
              <w:jc w:val="left"/>
              <w:rPr>
                <w:rFonts w:ascii="宋体" w:hAnsi="宋体" w:eastAsia="宋体"/>
                <w:sz w:val="30"/>
                <w:szCs w:val="30"/>
              </w:rPr>
            </w:pPr>
          </w:p>
        </w:tc>
        <w:tc>
          <w:tcPr>
            <w:tcW w:w="2551" w:type="dxa"/>
          </w:tcPr>
          <w:p>
            <w:pPr>
              <w:spacing w:line="0" w:lineRule="atLeast"/>
              <w:jc w:val="left"/>
              <w:rPr>
                <w:rFonts w:ascii="宋体" w:hAnsi="宋体" w:eastAsia="宋体"/>
                <w:sz w:val="30"/>
                <w:szCs w:val="30"/>
              </w:rPr>
            </w:pPr>
          </w:p>
        </w:tc>
        <w:tc>
          <w:tcPr>
            <w:tcW w:w="2290" w:type="dxa"/>
          </w:tcPr>
          <w:p>
            <w:pPr>
              <w:spacing w:line="0" w:lineRule="atLeast"/>
              <w:jc w:val="left"/>
              <w:rPr>
                <w:rFonts w:ascii="宋体" w:hAnsi="宋体" w:eastAsia="宋体"/>
                <w:sz w:val="30"/>
                <w:szCs w:val="30"/>
              </w:rPr>
            </w:pPr>
          </w:p>
        </w:tc>
        <w:tc>
          <w:tcPr>
            <w:tcW w:w="1789" w:type="dxa"/>
          </w:tcPr>
          <w:p>
            <w:pPr>
              <w:spacing w:line="0" w:lineRule="atLeast"/>
              <w:jc w:val="left"/>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8" w:type="dxa"/>
          </w:tcPr>
          <w:p>
            <w:pPr>
              <w:spacing w:line="0" w:lineRule="atLeast"/>
              <w:jc w:val="left"/>
              <w:rPr>
                <w:rFonts w:ascii="宋体" w:hAnsi="宋体" w:eastAsia="宋体"/>
                <w:sz w:val="30"/>
                <w:szCs w:val="30"/>
              </w:rPr>
            </w:pPr>
          </w:p>
        </w:tc>
        <w:tc>
          <w:tcPr>
            <w:tcW w:w="902" w:type="dxa"/>
          </w:tcPr>
          <w:p>
            <w:pPr>
              <w:spacing w:line="0" w:lineRule="atLeast"/>
              <w:jc w:val="left"/>
              <w:rPr>
                <w:rFonts w:ascii="宋体" w:hAnsi="宋体" w:eastAsia="宋体"/>
                <w:sz w:val="30"/>
                <w:szCs w:val="30"/>
              </w:rPr>
            </w:pPr>
          </w:p>
        </w:tc>
        <w:tc>
          <w:tcPr>
            <w:tcW w:w="2693" w:type="dxa"/>
          </w:tcPr>
          <w:p>
            <w:pPr>
              <w:spacing w:line="0" w:lineRule="atLeast"/>
              <w:jc w:val="left"/>
              <w:rPr>
                <w:rFonts w:ascii="宋体" w:hAnsi="宋体" w:eastAsia="宋体"/>
                <w:sz w:val="30"/>
                <w:szCs w:val="30"/>
              </w:rPr>
            </w:pPr>
          </w:p>
        </w:tc>
        <w:tc>
          <w:tcPr>
            <w:tcW w:w="2798" w:type="dxa"/>
          </w:tcPr>
          <w:p>
            <w:pPr>
              <w:spacing w:line="0" w:lineRule="atLeast"/>
              <w:jc w:val="left"/>
              <w:rPr>
                <w:rFonts w:ascii="宋体" w:hAnsi="宋体" w:eastAsia="宋体"/>
                <w:sz w:val="30"/>
                <w:szCs w:val="30"/>
              </w:rPr>
            </w:pPr>
          </w:p>
        </w:tc>
        <w:tc>
          <w:tcPr>
            <w:tcW w:w="1880" w:type="dxa"/>
          </w:tcPr>
          <w:p>
            <w:pPr>
              <w:spacing w:line="0" w:lineRule="atLeast"/>
              <w:jc w:val="left"/>
              <w:rPr>
                <w:rFonts w:ascii="宋体" w:hAnsi="宋体" w:eastAsia="宋体"/>
                <w:sz w:val="30"/>
                <w:szCs w:val="30"/>
              </w:rPr>
            </w:pPr>
          </w:p>
        </w:tc>
        <w:tc>
          <w:tcPr>
            <w:tcW w:w="2551" w:type="dxa"/>
          </w:tcPr>
          <w:p>
            <w:pPr>
              <w:spacing w:line="0" w:lineRule="atLeast"/>
              <w:jc w:val="left"/>
              <w:rPr>
                <w:rFonts w:ascii="宋体" w:hAnsi="宋体" w:eastAsia="宋体"/>
                <w:sz w:val="30"/>
                <w:szCs w:val="30"/>
              </w:rPr>
            </w:pPr>
          </w:p>
        </w:tc>
        <w:tc>
          <w:tcPr>
            <w:tcW w:w="2290" w:type="dxa"/>
          </w:tcPr>
          <w:p>
            <w:pPr>
              <w:spacing w:line="0" w:lineRule="atLeast"/>
              <w:jc w:val="left"/>
              <w:rPr>
                <w:rFonts w:ascii="宋体" w:hAnsi="宋体" w:eastAsia="宋体"/>
                <w:sz w:val="30"/>
                <w:szCs w:val="30"/>
              </w:rPr>
            </w:pPr>
          </w:p>
        </w:tc>
        <w:tc>
          <w:tcPr>
            <w:tcW w:w="1789" w:type="dxa"/>
          </w:tcPr>
          <w:p>
            <w:pPr>
              <w:spacing w:line="0" w:lineRule="atLeast"/>
              <w:jc w:val="left"/>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tcPr>
          <w:p>
            <w:pPr>
              <w:spacing w:line="0" w:lineRule="atLeast"/>
              <w:jc w:val="left"/>
              <w:rPr>
                <w:rFonts w:ascii="宋体" w:hAnsi="宋体" w:eastAsia="宋体"/>
                <w:sz w:val="30"/>
                <w:szCs w:val="30"/>
              </w:rPr>
            </w:pPr>
          </w:p>
        </w:tc>
        <w:tc>
          <w:tcPr>
            <w:tcW w:w="902" w:type="dxa"/>
          </w:tcPr>
          <w:p>
            <w:pPr>
              <w:spacing w:line="0" w:lineRule="atLeast"/>
              <w:jc w:val="left"/>
              <w:rPr>
                <w:rFonts w:ascii="宋体" w:hAnsi="宋体" w:eastAsia="宋体"/>
                <w:sz w:val="30"/>
                <w:szCs w:val="30"/>
              </w:rPr>
            </w:pPr>
          </w:p>
        </w:tc>
        <w:tc>
          <w:tcPr>
            <w:tcW w:w="2693" w:type="dxa"/>
          </w:tcPr>
          <w:p>
            <w:pPr>
              <w:spacing w:line="0" w:lineRule="atLeast"/>
              <w:jc w:val="left"/>
              <w:rPr>
                <w:rFonts w:ascii="宋体" w:hAnsi="宋体" w:eastAsia="宋体"/>
                <w:sz w:val="30"/>
                <w:szCs w:val="30"/>
              </w:rPr>
            </w:pPr>
          </w:p>
        </w:tc>
        <w:tc>
          <w:tcPr>
            <w:tcW w:w="2798" w:type="dxa"/>
          </w:tcPr>
          <w:p>
            <w:pPr>
              <w:spacing w:line="0" w:lineRule="atLeast"/>
              <w:jc w:val="left"/>
              <w:rPr>
                <w:rFonts w:ascii="宋体" w:hAnsi="宋体" w:eastAsia="宋体"/>
                <w:sz w:val="30"/>
                <w:szCs w:val="30"/>
              </w:rPr>
            </w:pPr>
          </w:p>
        </w:tc>
        <w:tc>
          <w:tcPr>
            <w:tcW w:w="1880" w:type="dxa"/>
          </w:tcPr>
          <w:p>
            <w:pPr>
              <w:spacing w:line="0" w:lineRule="atLeast"/>
              <w:jc w:val="left"/>
              <w:rPr>
                <w:rFonts w:ascii="宋体" w:hAnsi="宋体" w:eastAsia="宋体"/>
                <w:sz w:val="30"/>
                <w:szCs w:val="30"/>
              </w:rPr>
            </w:pPr>
          </w:p>
        </w:tc>
        <w:tc>
          <w:tcPr>
            <w:tcW w:w="2551" w:type="dxa"/>
          </w:tcPr>
          <w:p>
            <w:pPr>
              <w:spacing w:line="0" w:lineRule="atLeast"/>
              <w:jc w:val="left"/>
              <w:rPr>
                <w:rFonts w:ascii="宋体" w:hAnsi="宋体" w:eastAsia="宋体"/>
                <w:sz w:val="30"/>
                <w:szCs w:val="30"/>
              </w:rPr>
            </w:pPr>
          </w:p>
        </w:tc>
        <w:tc>
          <w:tcPr>
            <w:tcW w:w="2290" w:type="dxa"/>
          </w:tcPr>
          <w:p>
            <w:pPr>
              <w:spacing w:line="0" w:lineRule="atLeast"/>
              <w:jc w:val="left"/>
              <w:rPr>
                <w:rFonts w:ascii="宋体" w:hAnsi="宋体" w:eastAsia="宋体"/>
                <w:sz w:val="30"/>
                <w:szCs w:val="30"/>
              </w:rPr>
            </w:pPr>
          </w:p>
        </w:tc>
        <w:tc>
          <w:tcPr>
            <w:tcW w:w="1789" w:type="dxa"/>
          </w:tcPr>
          <w:p>
            <w:pPr>
              <w:spacing w:line="0" w:lineRule="atLeast"/>
              <w:jc w:val="left"/>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tcPr>
          <w:p>
            <w:pPr>
              <w:spacing w:line="0" w:lineRule="atLeast"/>
              <w:rPr>
                <w:rFonts w:ascii="宋体" w:hAnsi="宋体" w:eastAsia="宋体"/>
                <w:sz w:val="30"/>
                <w:szCs w:val="30"/>
              </w:rPr>
            </w:pPr>
          </w:p>
        </w:tc>
        <w:tc>
          <w:tcPr>
            <w:tcW w:w="902" w:type="dxa"/>
          </w:tcPr>
          <w:p>
            <w:pPr>
              <w:spacing w:line="0" w:lineRule="atLeast"/>
              <w:rPr>
                <w:rFonts w:ascii="宋体" w:hAnsi="宋体" w:eastAsia="宋体"/>
                <w:sz w:val="30"/>
                <w:szCs w:val="30"/>
              </w:rPr>
            </w:pPr>
          </w:p>
        </w:tc>
        <w:tc>
          <w:tcPr>
            <w:tcW w:w="2693" w:type="dxa"/>
          </w:tcPr>
          <w:p>
            <w:pPr>
              <w:spacing w:line="0" w:lineRule="atLeast"/>
              <w:rPr>
                <w:rFonts w:ascii="宋体" w:hAnsi="宋体" w:eastAsia="宋体"/>
                <w:sz w:val="30"/>
                <w:szCs w:val="30"/>
              </w:rPr>
            </w:pPr>
          </w:p>
        </w:tc>
        <w:tc>
          <w:tcPr>
            <w:tcW w:w="2798" w:type="dxa"/>
          </w:tcPr>
          <w:p>
            <w:pPr>
              <w:spacing w:line="0" w:lineRule="atLeast"/>
              <w:rPr>
                <w:rFonts w:ascii="宋体" w:hAnsi="宋体" w:eastAsia="宋体"/>
                <w:sz w:val="30"/>
                <w:szCs w:val="30"/>
              </w:rPr>
            </w:pPr>
          </w:p>
        </w:tc>
        <w:tc>
          <w:tcPr>
            <w:tcW w:w="1880" w:type="dxa"/>
          </w:tcPr>
          <w:p>
            <w:pPr>
              <w:spacing w:line="0" w:lineRule="atLeast"/>
              <w:rPr>
                <w:rFonts w:ascii="宋体" w:hAnsi="宋体" w:eastAsia="宋体"/>
                <w:sz w:val="30"/>
                <w:szCs w:val="30"/>
              </w:rPr>
            </w:pPr>
          </w:p>
        </w:tc>
        <w:tc>
          <w:tcPr>
            <w:tcW w:w="2551" w:type="dxa"/>
          </w:tcPr>
          <w:p>
            <w:pPr>
              <w:spacing w:line="0" w:lineRule="atLeast"/>
              <w:rPr>
                <w:rFonts w:ascii="宋体" w:hAnsi="宋体" w:eastAsia="宋体"/>
                <w:sz w:val="30"/>
                <w:szCs w:val="30"/>
              </w:rPr>
            </w:pPr>
          </w:p>
        </w:tc>
        <w:tc>
          <w:tcPr>
            <w:tcW w:w="2290" w:type="dxa"/>
          </w:tcPr>
          <w:p>
            <w:pPr>
              <w:spacing w:line="0" w:lineRule="atLeast"/>
              <w:rPr>
                <w:rFonts w:ascii="宋体" w:hAnsi="宋体" w:eastAsia="宋体"/>
                <w:sz w:val="30"/>
                <w:szCs w:val="30"/>
              </w:rPr>
            </w:pPr>
          </w:p>
        </w:tc>
        <w:tc>
          <w:tcPr>
            <w:tcW w:w="1789" w:type="dxa"/>
          </w:tcPr>
          <w:p>
            <w:pPr>
              <w:spacing w:line="0" w:lineRule="atLeast"/>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tcPr>
          <w:p>
            <w:pPr>
              <w:spacing w:line="0" w:lineRule="atLeast"/>
              <w:rPr>
                <w:rFonts w:ascii="宋体" w:hAnsi="宋体" w:eastAsia="宋体"/>
                <w:sz w:val="30"/>
                <w:szCs w:val="30"/>
              </w:rPr>
            </w:pPr>
          </w:p>
        </w:tc>
        <w:tc>
          <w:tcPr>
            <w:tcW w:w="902" w:type="dxa"/>
          </w:tcPr>
          <w:p>
            <w:pPr>
              <w:spacing w:line="0" w:lineRule="atLeast"/>
              <w:rPr>
                <w:rFonts w:ascii="宋体" w:hAnsi="宋体" w:eastAsia="宋体"/>
                <w:sz w:val="30"/>
                <w:szCs w:val="30"/>
              </w:rPr>
            </w:pPr>
          </w:p>
        </w:tc>
        <w:tc>
          <w:tcPr>
            <w:tcW w:w="2693" w:type="dxa"/>
          </w:tcPr>
          <w:p>
            <w:pPr>
              <w:spacing w:line="0" w:lineRule="atLeast"/>
              <w:rPr>
                <w:rFonts w:ascii="宋体" w:hAnsi="宋体" w:eastAsia="宋体"/>
                <w:sz w:val="30"/>
                <w:szCs w:val="30"/>
              </w:rPr>
            </w:pPr>
          </w:p>
        </w:tc>
        <w:tc>
          <w:tcPr>
            <w:tcW w:w="2798" w:type="dxa"/>
          </w:tcPr>
          <w:p>
            <w:pPr>
              <w:spacing w:line="0" w:lineRule="atLeast"/>
              <w:rPr>
                <w:rFonts w:ascii="宋体" w:hAnsi="宋体" w:eastAsia="宋体"/>
                <w:sz w:val="30"/>
                <w:szCs w:val="30"/>
              </w:rPr>
            </w:pPr>
          </w:p>
        </w:tc>
        <w:tc>
          <w:tcPr>
            <w:tcW w:w="1880" w:type="dxa"/>
          </w:tcPr>
          <w:p>
            <w:pPr>
              <w:spacing w:line="0" w:lineRule="atLeast"/>
              <w:rPr>
                <w:rFonts w:ascii="宋体" w:hAnsi="宋体" w:eastAsia="宋体"/>
                <w:sz w:val="30"/>
                <w:szCs w:val="30"/>
              </w:rPr>
            </w:pPr>
          </w:p>
        </w:tc>
        <w:tc>
          <w:tcPr>
            <w:tcW w:w="2551" w:type="dxa"/>
          </w:tcPr>
          <w:p>
            <w:pPr>
              <w:spacing w:line="0" w:lineRule="atLeast"/>
              <w:rPr>
                <w:rFonts w:ascii="宋体" w:hAnsi="宋体" w:eastAsia="宋体"/>
                <w:sz w:val="30"/>
                <w:szCs w:val="30"/>
              </w:rPr>
            </w:pPr>
          </w:p>
        </w:tc>
        <w:tc>
          <w:tcPr>
            <w:tcW w:w="2290" w:type="dxa"/>
          </w:tcPr>
          <w:p>
            <w:pPr>
              <w:spacing w:line="0" w:lineRule="atLeast"/>
              <w:rPr>
                <w:rFonts w:ascii="宋体" w:hAnsi="宋体" w:eastAsia="宋体"/>
                <w:sz w:val="30"/>
                <w:szCs w:val="30"/>
              </w:rPr>
            </w:pPr>
          </w:p>
        </w:tc>
        <w:tc>
          <w:tcPr>
            <w:tcW w:w="1789" w:type="dxa"/>
          </w:tcPr>
          <w:p>
            <w:pPr>
              <w:spacing w:line="0" w:lineRule="atLeast"/>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8" w:type="dxa"/>
          </w:tcPr>
          <w:p>
            <w:pPr>
              <w:spacing w:line="0" w:lineRule="atLeast"/>
              <w:rPr>
                <w:rFonts w:ascii="宋体" w:hAnsi="宋体" w:eastAsia="宋体"/>
                <w:sz w:val="30"/>
                <w:szCs w:val="30"/>
              </w:rPr>
            </w:pPr>
          </w:p>
        </w:tc>
        <w:tc>
          <w:tcPr>
            <w:tcW w:w="902" w:type="dxa"/>
          </w:tcPr>
          <w:p>
            <w:pPr>
              <w:spacing w:line="0" w:lineRule="atLeast"/>
              <w:rPr>
                <w:rFonts w:ascii="宋体" w:hAnsi="宋体" w:eastAsia="宋体"/>
                <w:sz w:val="30"/>
                <w:szCs w:val="30"/>
              </w:rPr>
            </w:pPr>
          </w:p>
        </w:tc>
        <w:tc>
          <w:tcPr>
            <w:tcW w:w="2693" w:type="dxa"/>
          </w:tcPr>
          <w:p>
            <w:pPr>
              <w:spacing w:line="0" w:lineRule="atLeast"/>
              <w:rPr>
                <w:rFonts w:ascii="宋体" w:hAnsi="宋体" w:eastAsia="宋体"/>
                <w:sz w:val="30"/>
                <w:szCs w:val="30"/>
              </w:rPr>
            </w:pPr>
          </w:p>
        </w:tc>
        <w:tc>
          <w:tcPr>
            <w:tcW w:w="2798" w:type="dxa"/>
          </w:tcPr>
          <w:p>
            <w:pPr>
              <w:spacing w:line="0" w:lineRule="atLeast"/>
              <w:rPr>
                <w:rFonts w:ascii="宋体" w:hAnsi="宋体" w:eastAsia="宋体"/>
                <w:sz w:val="30"/>
                <w:szCs w:val="30"/>
              </w:rPr>
            </w:pPr>
          </w:p>
        </w:tc>
        <w:tc>
          <w:tcPr>
            <w:tcW w:w="1880" w:type="dxa"/>
          </w:tcPr>
          <w:p>
            <w:pPr>
              <w:spacing w:line="0" w:lineRule="atLeast"/>
              <w:rPr>
                <w:rFonts w:ascii="宋体" w:hAnsi="宋体" w:eastAsia="宋体"/>
                <w:sz w:val="30"/>
                <w:szCs w:val="30"/>
              </w:rPr>
            </w:pPr>
          </w:p>
        </w:tc>
        <w:tc>
          <w:tcPr>
            <w:tcW w:w="2551" w:type="dxa"/>
          </w:tcPr>
          <w:p>
            <w:pPr>
              <w:spacing w:line="0" w:lineRule="atLeast"/>
              <w:rPr>
                <w:rFonts w:ascii="宋体" w:hAnsi="宋体" w:eastAsia="宋体"/>
                <w:sz w:val="30"/>
                <w:szCs w:val="30"/>
              </w:rPr>
            </w:pPr>
          </w:p>
        </w:tc>
        <w:tc>
          <w:tcPr>
            <w:tcW w:w="2290" w:type="dxa"/>
          </w:tcPr>
          <w:p>
            <w:pPr>
              <w:spacing w:line="0" w:lineRule="atLeast"/>
              <w:rPr>
                <w:rFonts w:ascii="宋体" w:hAnsi="宋体" w:eastAsia="宋体"/>
                <w:sz w:val="30"/>
                <w:szCs w:val="30"/>
              </w:rPr>
            </w:pPr>
          </w:p>
        </w:tc>
        <w:tc>
          <w:tcPr>
            <w:tcW w:w="1789" w:type="dxa"/>
          </w:tcPr>
          <w:p>
            <w:pPr>
              <w:spacing w:line="0" w:lineRule="atLeast"/>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tcPr>
          <w:p>
            <w:pPr>
              <w:spacing w:line="0" w:lineRule="atLeast"/>
              <w:rPr>
                <w:rFonts w:ascii="宋体" w:hAnsi="宋体" w:eastAsia="宋体"/>
                <w:sz w:val="30"/>
                <w:szCs w:val="30"/>
              </w:rPr>
            </w:pPr>
          </w:p>
        </w:tc>
        <w:tc>
          <w:tcPr>
            <w:tcW w:w="902" w:type="dxa"/>
          </w:tcPr>
          <w:p>
            <w:pPr>
              <w:spacing w:line="0" w:lineRule="atLeast"/>
              <w:rPr>
                <w:rFonts w:ascii="宋体" w:hAnsi="宋体" w:eastAsia="宋体"/>
                <w:sz w:val="30"/>
                <w:szCs w:val="30"/>
              </w:rPr>
            </w:pPr>
          </w:p>
        </w:tc>
        <w:tc>
          <w:tcPr>
            <w:tcW w:w="2693" w:type="dxa"/>
          </w:tcPr>
          <w:p>
            <w:pPr>
              <w:spacing w:line="0" w:lineRule="atLeast"/>
              <w:rPr>
                <w:rFonts w:ascii="宋体" w:hAnsi="宋体" w:eastAsia="宋体"/>
                <w:sz w:val="30"/>
                <w:szCs w:val="30"/>
              </w:rPr>
            </w:pPr>
          </w:p>
        </w:tc>
        <w:tc>
          <w:tcPr>
            <w:tcW w:w="2798" w:type="dxa"/>
          </w:tcPr>
          <w:p>
            <w:pPr>
              <w:spacing w:line="0" w:lineRule="atLeast"/>
              <w:rPr>
                <w:rFonts w:ascii="宋体" w:hAnsi="宋体" w:eastAsia="宋体"/>
                <w:sz w:val="30"/>
                <w:szCs w:val="30"/>
              </w:rPr>
            </w:pPr>
          </w:p>
        </w:tc>
        <w:tc>
          <w:tcPr>
            <w:tcW w:w="1880" w:type="dxa"/>
          </w:tcPr>
          <w:p>
            <w:pPr>
              <w:spacing w:line="0" w:lineRule="atLeast"/>
              <w:rPr>
                <w:rFonts w:ascii="宋体" w:hAnsi="宋体" w:eastAsia="宋体"/>
                <w:sz w:val="30"/>
                <w:szCs w:val="30"/>
              </w:rPr>
            </w:pPr>
          </w:p>
        </w:tc>
        <w:tc>
          <w:tcPr>
            <w:tcW w:w="2551" w:type="dxa"/>
          </w:tcPr>
          <w:p>
            <w:pPr>
              <w:spacing w:line="0" w:lineRule="atLeast"/>
              <w:rPr>
                <w:rFonts w:ascii="宋体" w:hAnsi="宋体" w:eastAsia="宋体"/>
                <w:sz w:val="30"/>
                <w:szCs w:val="30"/>
              </w:rPr>
            </w:pPr>
          </w:p>
        </w:tc>
        <w:tc>
          <w:tcPr>
            <w:tcW w:w="2290" w:type="dxa"/>
          </w:tcPr>
          <w:p>
            <w:pPr>
              <w:spacing w:line="0" w:lineRule="atLeast"/>
              <w:rPr>
                <w:rFonts w:ascii="宋体" w:hAnsi="宋体" w:eastAsia="宋体"/>
                <w:sz w:val="30"/>
                <w:szCs w:val="30"/>
              </w:rPr>
            </w:pPr>
          </w:p>
        </w:tc>
        <w:tc>
          <w:tcPr>
            <w:tcW w:w="1789" w:type="dxa"/>
          </w:tcPr>
          <w:p>
            <w:pPr>
              <w:spacing w:line="0" w:lineRule="atLeast"/>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tcPr>
          <w:p>
            <w:pPr>
              <w:spacing w:line="0" w:lineRule="atLeast"/>
              <w:rPr>
                <w:rFonts w:ascii="宋体" w:hAnsi="宋体" w:eastAsia="宋体"/>
                <w:sz w:val="30"/>
                <w:szCs w:val="30"/>
              </w:rPr>
            </w:pPr>
          </w:p>
        </w:tc>
        <w:tc>
          <w:tcPr>
            <w:tcW w:w="902" w:type="dxa"/>
          </w:tcPr>
          <w:p>
            <w:pPr>
              <w:spacing w:line="0" w:lineRule="atLeast"/>
              <w:rPr>
                <w:rFonts w:ascii="宋体" w:hAnsi="宋体" w:eastAsia="宋体"/>
                <w:sz w:val="30"/>
                <w:szCs w:val="30"/>
              </w:rPr>
            </w:pPr>
          </w:p>
        </w:tc>
        <w:tc>
          <w:tcPr>
            <w:tcW w:w="2693" w:type="dxa"/>
          </w:tcPr>
          <w:p>
            <w:pPr>
              <w:spacing w:line="0" w:lineRule="atLeast"/>
              <w:rPr>
                <w:rFonts w:ascii="宋体" w:hAnsi="宋体" w:eastAsia="宋体"/>
                <w:sz w:val="30"/>
                <w:szCs w:val="30"/>
              </w:rPr>
            </w:pPr>
          </w:p>
        </w:tc>
        <w:tc>
          <w:tcPr>
            <w:tcW w:w="2798" w:type="dxa"/>
          </w:tcPr>
          <w:p>
            <w:pPr>
              <w:spacing w:line="0" w:lineRule="atLeast"/>
              <w:rPr>
                <w:rFonts w:ascii="宋体" w:hAnsi="宋体" w:eastAsia="宋体"/>
                <w:sz w:val="30"/>
                <w:szCs w:val="30"/>
              </w:rPr>
            </w:pPr>
          </w:p>
        </w:tc>
        <w:tc>
          <w:tcPr>
            <w:tcW w:w="1880" w:type="dxa"/>
          </w:tcPr>
          <w:p>
            <w:pPr>
              <w:spacing w:line="0" w:lineRule="atLeast"/>
              <w:rPr>
                <w:rFonts w:ascii="宋体" w:hAnsi="宋体" w:eastAsia="宋体"/>
                <w:sz w:val="30"/>
                <w:szCs w:val="30"/>
              </w:rPr>
            </w:pPr>
          </w:p>
        </w:tc>
        <w:tc>
          <w:tcPr>
            <w:tcW w:w="2551" w:type="dxa"/>
          </w:tcPr>
          <w:p>
            <w:pPr>
              <w:spacing w:line="0" w:lineRule="atLeast"/>
              <w:rPr>
                <w:rFonts w:ascii="宋体" w:hAnsi="宋体" w:eastAsia="宋体"/>
                <w:sz w:val="30"/>
                <w:szCs w:val="30"/>
              </w:rPr>
            </w:pPr>
          </w:p>
        </w:tc>
        <w:tc>
          <w:tcPr>
            <w:tcW w:w="2290" w:type="dxa"/>
          </w:tcPr>
          <w:p>
            <w:pPr>
              <w:spacing w:line="0" w:lineRule="atLeast"/>
              <w:rPr>
                <w:rFonts w:ascii="宋体" w:hAnsi="宋体" w:eastAsia="宋体"/>
                <w:sz w:val="30"/>
                <w:szCs w:val="30"/>
              </w:rPr>
            </w:pPr>
          </w:p>
        </w:tc>
        <w:tc>
          <w:tcPr>
            <w:tcW w:w="1789" w:type="dxa"/>
          </w:tcPr>
          <w:p>
            <w:pPr>
              <w:spacing w:line="0" w:lineRule="atLeast"/>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tcPr>
          <w:p>
            <w:pPr>
              <w:spacing w:line="0" w:lineRule="atLeast"/>
              <w:rPr>
                <w:rFonts w:ascii="宋体" w:hAnsi="宋体" w:eastAsia="宋体"/>
                <w:sz w:val="30"/>
                <w:szCs w:val="30"/>
              </w:rPr>
            </w:pPr>
          </w:p>
        </w:tc>
        <w:tc>
          <w:tcPr>
            <w:tcW w:w="902" w:type="dxa"/>
          </w:tcPr>
          <w:p>
            <w:pPr>
              <w:spacing w:line="0" w:lineRule="atLeast"/>
              <w:rPr>
                <w:rFonts w:ascii="宋体" w:hAnsi="宋体" w:eastAsia="宋体"/>
                <w:sz w:val="30"/>
                <w:szCs w:val="30"/>
              </w:rPr>
            </w:pPr>
          </w:p>
        </w:tc>
        <w:tc>
          <w:tcPr>
            <w:tcW w:w="2693" w:type="dxa"/>
          </w:tcPr>
          <w:p>
            <w:pPr>
              <w:spacing w:line="0" w:lineRule="atLeast"/>
              <w:rPr>
                <w:rFonts w:ascii="宋体" w:hAnsi="宋体" w:eastAsia="宋体"/>
                <w:sz w:val="30"/>
                <w:szCs w:val="30"/>
              </w:rPr>
            </w:pPr>
          </w:p>
        </w:tc>
        <w:tc>
          <w:tcPr>
            <w:tcW w:w="2798" w:type="dxa"/>
          </w:tcPr>
          <w:p>
            <w:pPr>
              <w:spacing w:line="0" w:lineRule="atLeast"/>
              <w:rPr>
                <w:rFonts w:ascii="宋体" w:hAnsi="宋体" w:eastAsia="宋体"/>
                <w:sz w:val="30"/>
                <w:szCs w:val="30"/>
              </w:rPr>
            </w:pPr>
          </w:p>
        </w:tc>
        <w:tc>
          <w:tcPr>
            <w:tcW w:w="1880" w:type="dxa"/>
          </w:tcPr>
          <w:p>
            <w:pPr>
              <w:spacing w:line="0" w:lineRule="atLeast"/>
              <w:rPr>
                <w:rFonts w:ascii="宋体" w:hAnsi="宋体" w:eastAsia="宋体"/>
                <w:sz w:val="30"/>
                <w:szCs w:val="30"/>
              </w:rPr>
            </w:pPr>
          </w:p>
        </w:tc>
        <w:tc>
          <w:tcPr>
            <w:tcW w:w="2551" w:type="dxa"/>
          </w:tcPr>
          <w:p>
            <w:pPr>
              <w:spacing w:line="0" w:lineRule="atLeast"/>
              <w:rPr>
                <w:rFonts w:ascii="宋体" w:hAnsi="宋体" w:eastAsia="宋体"/>
                <w:sz w:val="30"/>
                <w:szCs w:val="30"/>
              </w:rPr>
            </w:pPr>
          </w:p>
        </w:tc>
        <w:tc>
          <w:tcPr>
            <w:tcW w:w="2290" w:type="dxa"/>
          </w:tcPr>
          <w:p>
            <w:pPr>
              <w:spacing w:line="0" w:lineRule="atLeast"/>
              <w:rPr>
                <w:rFonts w:ascii="宋体" w:hAnsi="宋体" w:eastAsia="宋体"/>
                <w:sz w:val="30"/>
                <w:szCs w:val="30"/>
              </w:rPr>
            </w:pPr>
          </w:p>
        </w:tc>
        <w:tc>
          <w:tcPr>
            <w:tcW w:w="1789" w:type="dxa"/>
          </w:tcPr>
          <w:p>
            <w:pPr>
              <w:spacing w:line="0" w:lineRule="atLeast"/>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8" w:type="dxa"/>
          </w:tcPr>
          <w:p>
            <w:pPr>
              <w:spacing w:line="0" w:lineRule="atLeast"/>
              <w:rPr>
                <w:rFonts w:ascii="宋体" w:hAnsi="宋体" w:eastAsia="宋体"/>
                <w:sz w:val="30"/>
                <w:szCs w:val="30"/>
              </w:rPr>
            </w:pPr>
          </w:p>
        </w:tc>
        <w:tc>
          <w:tcPr>
            <w:tcW w:w="902" w:type="dxa"/>
          </w:tcPr>
          <w:p>
            <w:pPr>
              <w:spacing w:line="0" w:lineRule="atLeast"/>
              <w:rPr>
                <w:rFonts w:ascii="宋体" w:hAnsi="宋体" w:eastAsia="宋体"/>
                <w:sz w:val="30"/>
                <w:szCs w:val="30"/>
              </w:rPr>
            </w:pPr>
          </w:p>
        </w:tc>
        <w:tc>
          <w:tcPr>
            <w:tcW w:w="2693" w:type="dxa"/>
          </w:tcPr>
          <w:p>
            <w:pPr>
              <w:spacing w:line="0" w:lineRule="atLeast"/>
              <w:rPr>
                <w:rFonts w:ascii="宋体" w:hAnsi="宋体" w:eastAsia="宋体"/>
                <w:sz w:val="30"/>
                <w:szCs w:val="30"/>
              </w:rPr>
            </w:pPr>
          </w:p>
        </w:tc>
        <w:tc>
          <w:tcPr>
            <w:tcW w:w="2798" w:type="dxa"/>
          </w:tcPr>
          <w:p>
            <w:pPr>
              <w:spacing w:line="0" w:lineRule="atLeast"/>
              <w:rPr>
                <w:rFonts w:ascii="宋体" w:hAnsi="宋体" w:eastAsia="宋体"/>
                <w:sz w:val="30"/>
                <w:szCs w:val="30"/>
              </w:rPr>
            </w:pPr>
          </w:p>
        </w:tc>
        <w:tc>
          <w:tcPr>
            <w:tcW w:w="1880" w:type="dxa"/>
          </w:tcPr>
          <w:p>
            <w:pPr>
              <w:spacing w:line="0" w:lineRule="atLeast"/>
              <w:rPr>
                <w:rFonts w:ascii="宋体" w:hAnsi="宋体" w:eastAsia="宋体"/>
                <w:sz w:val="30"/>
                <w:szCs w:val="30"/>
              </w:rPr>
            </w:pPr>
          </w:p>
        </w:tc>
        <w:tc>
          <w:tcPr>
            <w:tcW w:w="2551" w:type="dxa"/>
          </w:tcPr>
          <w:p>
            <w:pPr>
              <w:spacing w:line="0" w:lineRule="atLeast"/>
              <w:rPr>
                <w:rFonts w:ascii="宋体" w:hAnsi="宋体" w:eastAsia="宋体"/>
                <w:sz w:val="30"/>
                <w:szCs w:val="30"/>
              </w:rPr>
            </w:pPr>
          </w:p>
        </w:tc>
        <w:tc>
          <w:tcPr>
            <w:tcW w:w="2290" w:type="dxa"/>
          </w:tcPr>
          <w:p>
            <w:pPr>
              <w:spacing w:line="0" w:lineRule="atLeast"/>
              <w:rPr>
                <w:rFonts w:ascii="宋体" w:hAnsi="宋体" w:eastAsia="宋体"/>
                <w:sz w:val="30"/>
                <w:szCs w:val="30"/>
              </w:rPr>
            </w:pPr>
          </w:p>
        </w:tc>
        <w:tc>
          <w:tcPr>
            <w:tcW w:w="1789" w:type="dxa"/>
          </w:tcPr>
          <w:p>
            <w:pPr>
              <w:spacing w:line="0" w:lineRule="atLeast"/>
              <w:rPr>
                <w:rFonts w:ascii="宋体" w:hAnsi="宋体" w:eastAsia="宋体"/>
                <w:sz w:val="30"/>
                <w:szCs w:val="30"/>
              </w:rPr>
            </w:pPr>
          </w:p>
        </w:tc>
      </w:tr>
    </w:tbl>
    <w:p>
      <w:pPr>
        <w:spacing w:before="190" w:beforeLines="50" w:after="190" w:afterLines="50"/>
        <w:jc w:val="left"/>
        <w:rPr>
          <w:rFonts w:ascii="黑体" w:hAnsi="仿宋" w:eastAsia="黑体"/>
          <w:sz w:val="32"/>
          <w:szCs w:val="32"/>
        </w:rPr>
      </w:pPr>
      <w:r>
        <w:rPr>
          <w:rFonts w:hint="eastAsia"/>
        </w:rPr>
        <w:t xml:space="preserve">    注：回函无意见一并汇总统计。</w:t>
      </w:r>
    </w:p>
    <w:p>
      <w:pPr>
        <w:jc w:val="left"/>
        <w:rPr>
          <w:rFonts w:hint="eastAsia"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附件</w:t>
      </w:r>
      <w:r>
        <w:rPr>
          <w:rFonts w:hint="eastAsia" w:ascii="黑体" w:hAnsi="黑体" w:eastAsia="黑体"/>
          <w:sz w:val="30"/>
          <w:szCs w:val="30"/>
          <w:u w:val="single"/>
        </w:rPr>
        <w:t xml:space="preserve"> 2 </w:t>
      </w:r>
      <w:r>
        <w:rPr>
          <w:rFonts w:hint="eastAsia" w:ascii="黑体" w:hAnsi="黑体" w:eastAsia="黑体"/>
          <w:sz w:val="30"/>
          <w:szCs w:val="30"/>
        </w:rPr>
        <w:t xml:space="preserve">： </w:t>
      </w:r>
    </w:p>
    <w:p>
      <w:pPr>
        <w:spacing w:after="190" w:afterLines="50"/>
        <w:jc w:val="center"/>
        <w:rPr>
          <w:rFonts w:ascii="黑体" w:hAnsi="仿宋" w:eastAsia="黑体"/>
          <w:sz w:val="32"/>
          <w:szCs w:val="32"/>
        </w:rPr>
      </w:pPr>
      <w:r>
        <w:rPr>
          <w:rFonts w:hint="eastAsia" w:ascii="黑体" w:hAnsi="仿宋" w:eastAsia="黑体"/>
          <w:sz w:val="32"/>
          <w:szCs w:val="32"/>
        </w:rPr>
        <w:t>xxxx年丽水市地方标准征求意见处理表</w:t>
      </w:r>
    </w:p>
    <w:tbl>
      <w:tblPr>
        <w:tblStyle w:val="15"/>
        <w:tblW w:w="15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07" w:type="dxa"/>
            <w:vAlign w:val="center"/>
          </w:tcPr>
          <w:p>
            <w:pPr>
              <w:jc w:val="center"/>
              <w:rPr>
                <w:rFonts w:ascii="黑体" w:hAnsi="黑体" w:eastAsia="黑体"/>
                <w:sz w:val="28"/>
                <w:szCs w:val="28"/>
              </w:rPr>
            </w:pPr>
            <w:r>
              <w:rPr>
                <w:rFonts w:hint="eastAsia" w:ascii="黑体" w:hAnsi="黑体" w:eastAsia="黑体"/>
              </w:rPr>
              <w:t>项 目  名 称</w:t>
            </w:r>
          </w:p>
        </w:tc>
        <w:tc>
          <w:tcPr>
            <w:tcW w:w="13750" w:type="dxa"/>
            <w:vAlign w:val="center"/>
          </w:tcPr>
          <w:p>
            <w:pPr>
              <w:spacing w:line="0" w:lineRule="atLeast"/>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007"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黑体" w:hAnsi="黑体" w:eastAsia="黑体"/>
                <w:sz w:val="32"/>
                <w:szCs w:val="32"/>
              </w:rPr>
            </w:pPr>
            <w:r>
              <w:rPr>
                <w:rFonts w:hint="eastAsia" w:ascii="黑体" w:hAnsi="黑体" w:eastAsia="黑体"/>
                <w:sz w:val="32"/>
                <w:szCs w:val="32"/>
              </w:rPr>
              <w:t>意见发出</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黑体" w:hAnsi="黑体" w:eastAsia="黑体"/>
                <w:sz w:val="32"/>
                <w:szCs w:val="32"/>
              </w:rPr>
            </w:pPr>
            <w:r>
              <w:rPr>
                <w:rFonts w:hint="eastAsia" w:ascii="黑体" w:hAnsi="黑体" w:eastAsia="黑体"/>
                <w:sz w:val="32"/>
                <w:szCs w:val="32"/>
              </w:rPr>
              <w:t>及收回情况</w:t>
            </w:r>
          </w:p>
        </w:tc>
        <w:tc>
          <w:tcPr>
            <w:tcW w:w="13750"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sz w:val="24"/>
                <w:szCs w:val="24"/>
              </w:rPr>
            </w:pPr>
            <w:r>
              <w:rPr>
                <w:rFonts w:hint="eastAsia"/>
                <w:sz w:val="24"/>
                <w:szCs w:val="24"/>
              </w:rPr>
              <w:t>①发送“征求意见稿”的情况：</w:t>
            </w:r>
          </w:p>
          <w:p>
            <w:pPr>
              <w:keepNext w:val="0"/>
              <w:keepLines w:val="0"/>
              <w:pageBreakBefore w:val="0"/>
              <w:kinsoku/>
              <w:wordWrap/>
              <w:overflowPunct/>
              <w:topLinePunct w:val="0"/>
              <w:autoSpaceDE/>
              <w:autoSpaceDN/>
              <w:bidi w:val="0"/>
              <w:adjustRightInd/>
              <w:snapToGrid/>
              <w:spacing w:line="340" w:lineRule="exact"/>
              <w:ind w:left="420" w:leftChars="200"/>
              <w:textAlignment w:val="auto"/>
              <w:rPr>
                <w:sz w:val="24"/>
                <w:szCs w:val="24"/>
              </w:rPr>
            </w:pPr>
            <w:r>
              <w:rPr>
                <w:rFonts w:hint="eastAsia"/>
                <w:sz w:val="24"/>
                <w:szCs w:val="24"/>
              </w:rPr>
              <w:sym w:font="Wingdings 2" w:char="F0A3"/>
            </w:r>
            <w:r>
              <w:rPr>
                <w:rFonts w:hint="eastAsia"/>
                <w:sz w:val="24"/>
                <w:szCs w:val="24"/>
              </w:rPr>
              <w:t>公文便函：市级收文单位家数___、县级收文单位家数___；</w:t>
            </w:r>
          </w:p>
          <w:p>
            <w:pPr>
              <w:keepNext w:val="0"/>
              <w:keepLines w:val="0"/>
              <w:pageBreakBefore w:val="0"/>
              <w:kinsoku/>
              <w:wordWrap/>
              <w:overflowPunct/>
              <w:topLinePunct w:val="0"/>
              <w:autoSpaceDE/>
              <w:autoSpaceDN/>
              <w:bidi w:val="0"/>
              <w:adjustRightInd/>
              <w:snapToGrid/>
              <w:spacing w:line="340" w:lineRule="exact"/>
              <w:ind w:left="420" w:leftChars="200"/>
              <w:textAlignment w:val="auto"/>
              <w:rPr>
                <w:sz w:val="24"/>
                <w:szCs w:val="24"/>
              </w:rPr>
            </w:pPr>
            <w:r>
              <w:rPr>
                <w:rFonts w:hint="eastAsia"/>
                <w:sz w:val="24"/>
                <w:szCs w:val="24"/>
              </w:rPr>
              <w:sym w:font="Wingdings 2" w:char="F0A3"/>
            </w:r>
            <w:r>
              <w:rPr>
                <w:rFonts w:hint="eastAsia"/>
                <w:sz w:val="24"/>
                <w:szCs w:val="24"/>
              </w:rPr>
              <w:t>工作条线：送达人数____（电话/微信/钉钉/办公助手/QQ/邮件等联系群/人）</w:t>
            </w:r>
          </w:p>
          <w:p>
            <w:pPr>
              <w:keepNext w:val="0"/>
              <w:keepLines w:val="0"/>
              <w:pageBreakBefore w:val="0"/>
              <w:kinsoku/>
              <w:wordWrap/>
              <w:overflowPunct/>
              <w:topLinePunct w:val="0"/>
              <w:autoSpaceDE/>
              <w:autoSpaceDN/>
              <w:bidi w:val="0"/>
              <w:adjustRightInd/>
              <w:snapToGrid/>
              <w:spacing w:line="340" w:lineRule="exact"/>
              <w:ind w:left="420" w:leftChars="200"/>
              <w:textAlignment w:val="auto"/>
              <w:rPr>
                <w:sz w:val="24"/>
                <w:szCs w:val="24"/>
              </w:rPr>
            </w:pPr>
            <w:r>
              <w:rPr>
                <w:rFonts w:hint="eastAsia"/>
                <w:sz w:val="24"/>
                <w:szCs w:val="24"/>
              </w:rPr>
              <w:sym w:font="Wingdings 2" w:char="F0A3"/>
            </w:r>
            <w:r>
              <w:rPr>
                <w:rFonts w:hint="eastAsia"/>
                <w:sz w:val="24"/>
                <w:szCs w:val="24"/>
              </w:rPr>
              <w:t>社会公众：途径种类数__ 征求次数___（公开网站/电视/报纸等）</w:t>
            </w:r>
          </w:p>
          <w:p>
            <w:pPr>
              <w:keepNext w:val="0"/>
              <w:keepLines w:val="0"/>
              <w:pageBreakBefore w:val="0"/>
              <w:kinsoku/>
              <w:wordWrap/>
              <w:overflowPunct/>
              <w:topLinePunct w:val="0"/>
              <w:autoSpaceDE/>
              <w:autoSpaceDN/>
              <w:bidi w:val="0"/>
              <w:adjustRightInd/>
              <w:snapToGrid/>
              <w:spacing w:line="340" w:lineRule="exact"/>
              <w:textAlignment w:val="auto"/>
              <w:rPr>
                <w:sz w:val="24"/>
                <w:szCs w:val="24"/>
              </w:rPr>
            </w:pPr>
            <w:r>
              <w:rPr>
                <w:rFonts w:hint="eastAsia"/>
                <w:sz w:val="24"/>
                <w:szCs w:val="24"/>
              </w:rPr>
              <w:t>②收到“征求意见稿”后，回函的单位数: __个；</w:t>
            </w:r>
          </w:p>
          <w:p>
            <w:pPr>
              <w:keepNext w:val="0"/>
              <w:keepLines w:val="0"/>
              <w:pageBreakBefore w:val="0"/>
              <w:kinsoku/>
              <w:wordWrap/>
              <w:overflowPunct/>
              <w:topLinePunct w:val="0"/>
              <w:autoSpaceDE/>
              <w:autoSpaceDN/>
              <w:bidi w:val="0"/>
              <w:adjustRightInd/>
              <w:snapToGrid/>
              <w:spacing w:line="340" w:lineRule="exact"/>
              <w:textAlignment w:val="auto"/>
              <w:rPr>
                <w:sz w:val="24"/>
                <w:szCs w:val="24"/>
              </w:rPr>
            </w:pPr>
            <w:r>
              <w:rPr>
                <w:rFonts w:hint="eastAsia"/>
                <w:sz w:val="24"/>
                <w:szCs w:val="24"/>
              </w:rPr>
              <w:t xml:space="preserve">  收到“征求意见稿”后，没有回函的单位数：__个；</w:t>
            </w:r>
          </w:p>
          <w:p>
            <w:pPr>
              <w:keepNext w:val="0"/>
              <w:keepLines w:val="0"/>
              <w:pageBreakBefore w:val="0"/>
              <w:kinsoku/>
              <w:wordWrap/>
              <w:overflowPunct/>
              <w:topLinePunct w:val="0"/>
              <w:autoSpaceDE/>
              <w:autoSpaceDN/>
              <w:bidi w:val="0"/>
              <w:adjustRightInd/>
              <w:snapToGrid/>
              <w:spacing w:line="340" w:lineRule="exact"/>
              <w:textAlignment w:val="auto"/>
              <w:rPr>
                <w:sz w:val="24"/>
                <w:szCs w:val="24"/>
              </w:rPr>
            </w:pPr>
            <w:r>
              <w:rPr>
                <w:rFonts w:hint="eastAsia"/>
                <w:sz w:val="24"/>
                <w:szCs w:val="24"/>
              </w:rPr>
              <w:t>③收到“征求意见稿”后，回函并有建议或意见的单位数: __个；</w:t>
            </w:r>
          </w:p>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eastAsia="仿宋_GB2312"/>
                <w:sz w:val="24"/>
                <w:szCs w:val="24"/>
              </w:rPr>
            </w:pPr>
            <w:r>
              <w:rPr>
                <w:rFonts w:hint="eastAsia"/>
                <w:sz w:val="24"/>
                <w:szCs w:val="24"/>
              </w:rPr>
              <w:t xml:space="preserve">  收到“征求意见稿”后，回函无意见的单位数: 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007"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黑体" w:hAnsi="黑体" w:eastAsia="黑体"/>
                <w:sz w:val="32"/>
                <w:szCs w:val="32"/>
              </w:rPr>
            </w:pPr>
            <w:r>
              <w:rPr>
                <w:rFonts w:hint="eastAsia" w:ascii="黑体" w:hAnsi="黑体" w:eastAsia="黑体"/>
                <w:sz w:val="32"/>
                <w:szCs w:val="32"/>
              </w:rPr>
              <w:t>反馈意见</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黑体" w:hAnsi="黑体" w:eastAsia="黑体"/>
                <w:sz w:val="32"/>
                <w:szCs w:val="32"/>
              </w:rPr>
            </w:pPr>
            <w:r>
              <w:rPr>
                <w:rFonts w:hint="eastAsia" w:ascii="黑体" w:hAnsi="黑体" w:eastAsia="黑体"/>
                <w:sz w:val="32"/>
                <w:szCs w:val="32"/>
              </w:rPr>
              <w:t>覆盖面</w:t>
            </w:r>
          </w:p>
        </w:tc>
        <w:tc>
          <w:tcPr>
            <w:tcW w:w="13750" w:type="dxa"/>
            <w:vAlign w:val="center"/>
          </w:tcPr>
          <w:p>
            <w:pPr>
              <w:pStyle w:val="25"/>
              <w:keepNext w:val="0"/>
              <w:keepLines w:val="0"/>
              <w:pageBreakBefore w:val="0"/>
              <w:kinsoku/>
              <w:wordWrap/>
              <w:overflowPunct/>
              <w:topLinePunct w:val="0"/>
              <w:autoSpaceDE/>
              <w:autoSpaceDN/>
              <w:bidi w:val="0"/>
              <w:adjustRightInd/>
              <w:snapToGrid/>
              <w:spacing w:line="340" w:lineRule="exact"/>
              <w:ind w:firstLine="480"/>
              <w:textAlignment w:val="auto"/>
              <w:rPr>
                <w:rFonts w:eastAsia="仿宋_GB2312"/>
                <w:kern w:val="2"/>
                <w:sz w:val="24"/>
                <w:szCs w:val="24"/>
              </w:rPr>
            </w:pPr>
            <w:r>
              <w:rPr>
                <w:rFonts w:hint="eastAsia" w:eastAsia="仿宋_GB2312"/>
                <w:kern w:val="2"/>
                <w:sz w:val="24"/>
                <w:szCs w:val="24"/>
              </w:rPr>
              <w:t>（1）市级行业领域相关部门（单位）：</w:t>
            </w:r>
          </w:p>
          <w:p>
            <w:pPr>
              <w:pStyle w:val="25"/>
              <w:keepNext w:val="0"/>
              <w:keepLines w:val="0"/>
              <w:pageBreakBefore w:val="0"/>
              <w:kinsoku/>
              <w:wordWrap/>
              <w:overflowPunct/>
              <w:topLinePunct w:val="0"/>
              <w:autoSpaceDE/>
              <w:autoSpaceDN/>
              <w:bidi w:val="0"/>
              <w:adjustRightInd/>
              <w:snapToGrid/>
              <w:spacing w:line="340" w:lineRule="exact"/>
              <w:ind w:firstLine="480"/>
              <w:textAlignment w:val="auto"/>
              <w:rPr>
                <w:rFonts w:eastAsia="仿宋_GB2312"/>
                <w:kern w:val="2"/>
                <w:sz w:val="24"/>
                <w:szCs w:val="24"/>
              </w:rPr>
            </w:pPr>
            <w:r>
              <w:rPr>
                <w:rFonts w:hint="eastAsia" w:eastAsia="仿宋_GB2312"/>
                <w:kern w:val="2"/>
                <w:sz w:val="24"/>
                <w:szCs w:val="24"/>
              </w:rPr>
              <w:t>□市级</w:t>
            </w:r>
            <w:r>
              <w:rPr>
                <w:rFonts w:hint="eastAsia" w:eastAsia="仿宋_GB2312"/>
                <w:kern w:val="2"/>
                <w:sz w:val="24"/>
                <w:szCs w:val="24"/>
                <w:u w:val="single"/>
              </w:rPr>
              <w:t xml:space="preserve">    </w:t>
            </w:r>
            <w:r>
              <w:rPr>
                <w:rFonts w:hint="eastAsia" w:eastAsia="仿宋_GB2312"/>
                <w:kern w:val="2"/>
                <w:sz w:val="24"/>
                <w:szCs w:val="24"/>
              </w:rPr>
              <w:t>行业主管（</w:t>
            </w:r>
            <w:r>
              <w:rPr>
                <w:rFonts w:hint="eastAsia" w:eastAsia="仿宋_GB2312"/>
                <w:kern w:val="2"/>
                <w:sz w:val="24"/>
                <w:szCs w:val="24"/>
                <w:u w:val="single"/>
              </w:rPr>
              <w:t>归口</w:t>
            </w:r>
            <w:r>
              <w:rPr>
                <w:rFonts w:hint="eastAsia" w:eastAsia="仿宋_GB2312"/>
                <w:kern w:val="2"/>
                <w:sz w:val="24"/>
                <w:szCs w:val="24"/>
              </w:rPr>
              <w:t>）部门：主要涉及：</w:t>
            </w:r>
            <w:r>
              <w:rPr>
                <w:rFonts w:hint="eastAsia" w:eastAsia="仿宋_GB2312"/>
                <w:kern w:val="2"/>
                <w:sz w:val="24"/>
                <w:szCs w:val="24"/>
                <w:u w:val="single"/>
              </w:rPr>
              <w:t xml:space="preserve">                         等   </w:t>
            </w:r>
            <w:r>
              <w:rPr>
                <w:rFonts w:hint="eastAsia" w:eastAsia="仿宋_GB2312"/>
                <w:kern w:val="2"/>
                <w:sz w:val="24"/>
                <w:szCs w:val="24"/>
              </w:rPr>
              <w:t>个相关业务处室或下属事业单位；涉及区域：</w:t>
            </w:r>
            <w:r>
              <w:rPr>
                <w:rFonts w:eastAsia="仿宋_GB2312"/>
                <w:kern w:val="2"/>
                <w:sz w:val="24"/>
                <w:szCs w:val="24"/>
              </w:rPr>
              <w:t></w:t>
            </w:r>
            <w:r>
              <w:rPr>
                <w:rFonts w:hint="eastAsia" w:eastAsia="仿宋_GB2312"/>
                <w:kern w:val="2"/>
                <w:sz w:val="24"/>
                <w:szCs w:val="24"/>
              </w:rPr>
              <w:t>市直</w:t>
            </w:r>
            <w:r>
              <w:rPr>
                <w:rFonts w:eastAsia="仿宋_GB2312"/>
                <w:kern w:val="2"/>
                <w:sz w:val="24"/>
                <w:szCs w:val="24"/>
              </w:rPr>
              <w:t xml:space="preserve"> </w:t>
            </w:r>
            <w:r>
              <w:rPr>
                <w:rFonts w:hint="eastAsia" w:eastAsia="仿宋_GB2312"/>
                <w:kern w:val="2"/>
                <w:sz w:val="24"/>
                <w:szCs w:val="24"/>
              </w:rPr>
              <w:t>县（莲都区</w:t>
            </w:r>
            <w:r>
              <w:rPr>
                <w:rFonts w:eastAsia="仿宋_GB2312"/>
                <w:kern w:val="2"/>
                <w:sz w:val="24"/>
                <w:szCs w:val="24"/>
              </w:rPr>
              <w:t>/</w:t>
            </w:r>
            <w:r>
              <w:rPr>
                <w:rFonts w:hint="eastAsia" w:eastAsia="仿宋_GB2312"/>
                <w:kern w:val="2"/>
                <w:sz w:val="24"/>
                <w:szCs w:val="24"/>
              </w:rPr>
              <w:t>龙泉市</w:t>
            </w:r>
            <w:r>
              <w:rPr>
                <w:rFonts w:eastAsia="仿宋_GB2312"/>
                <w:kern w:val="2"/>
                <w:sz w:val="24"/>
                <w:szCs w:val="24"/>
              </w:rPr>
              <w:t>/</w:t>
            </w:r>
            <w:r>
              <w:rPr>
                <w:rFonts w:hint="eastAsia" w:eastAsia="仿宋_GB2312"/>
                <w:kern w:val="2"/>
                <w:sz w:val="24"/>
                <w:szCs w:val="24"/>
              </w:rPr>
              <w:t>青田县</w:t>
            </w:r>
            <w:r>
              <w:rPr>
                <w:rFonts w:eastAsia="仿宋_GB2312"/>
                <w:kern w:val="2"/>
                <w:sz w:val="24"/>
                <w:szCs w:val="24"/>
              </w:rPr>
              <w:t>/</w:t>
            </w:r>
            <w:r>
              <w:rPr>
                <w:rFonts w:hint="eastAsia" w:eastAsia="仿宋_GB2312"/>
                <w:kern w:val="2"/>
                <w:sz w:val="24"/>
                <w:szCs w:val="24"/>
              </w:rPr>
              <w:t>云和县</w:t>
            </w:r>
            <w:r>
              <w:rPr>
                <w:rFonts w:eastAsia="仿宋_GB2312"/>
                <w:kern w:val="2"/>
                <w:sz w:val="24"/>
                <w:szCs w:val="24"/>
              </w:rPr>
              <w:t>/</w:t>
            </w:r>
            <w:r>
              <w:rPr>
                <w:rFonts w:hint="eastAsia" w:eastAsia="仿宋_GB2312"/>
                <w:kern w:val="2"/>
                <w:sz w:val="24"/>
                <w:szCs w:val="24"/>
              </w:rPr>
              <w:t>庆元县</w:t>
            </w:r>
            <w:r>
              <w:rPr>
                <w:rFonts w:eastAsia="仿宋_GB2312"/>
                <w:kern w:val="2"/>
                <w:sz w:val="24"/>
                <w:szCs w:val="24"/>
              </w:rPr>
              <w:t>/</w:t>
            </w:r>
            <w:r>
              <w:rPr>
                <w:rFonts w:hint="eastAsia" w:eastAsia="仿宋_GB2312"/>
                <w:kern w:val="2"/>
                <w:sz w:val="24"/>
                <w:szCs w:val="24"/>
              </w:rPr>
              <w:t>缙云县</w:t>
            </w:r>
            <w:r>
              <w:rPr>
                <w:rFonts w:eastAsia="仿宋_GB2312"/>
                <w:kern w:val="2"/>
                <w:sz w:val="24"/>
                <w:szCs w:val="24"/>
              </w:rPr>
              <w:t>/</w:t>
            </w:r>
            <w:r>
              <w:rPr>
                <w:rFonts w:hint="eastAsia" w:eastAsia="仿宋_GB2312"/>
                <w:kern w:val="2"/>
                <w:sz w:val="24"/>
                <w:szCs w:val="24"/>
              </w:rPr>
              <w:t>遂昌县</w:t>
            </w:r>
            <w:r>
              <w:rPr>
                <w:rFonts w:eastAsia="仿宋_GB2312"/>
                <w:kern w:val="2"/>
                <w:sz w:val="24"/>
                <w:szCs w:val="24"/>
              </w:rPr>
              <w:t>/</w:t>
            </w:r>
            <w:r>
              <w:rPr>
                <w:rFonts w:hint="eastAsia" w:eastAsia="仿宋_GB2312"/>
                <w:kern w:val="2"/>
                <w:sz w:val="24"/>
                <w:szCs w:val="24"/>
              </w:rPr>
              <w:t>松阳县</w:t>
            </w:r>
            <w:r>
              <w:rPr>
                <w:rFonts w:eastAsia="仿宋_GB2312"/>
                <w:kern w:val="2"/>
                <w:sz w:val="24"/>
                <w:szCs w:val="24"/>
              </w:rPr>
              <w:t>/</w:t>
            </w:r>
            <w:r>
              <w:rPr>
                <w:rFonts w:hint="eastAsia" w:eastAsia="仿宋_GB2312"/>
                <w:kern w:val="2"/>
                <w:sz w:val="24"/>
                <w:szCs w:val="24"/>
              </w:rPr>
              <w:t>景宁县</w:t>
            </w:r>
            <w:r>
              <w:rPr>
                <w:rFonts w:eastAsia="仿宋_GB2312"/>
                <w:kern w:val="2"/>
                <w:sz w:val="24"/>
                <w:szCs w:val="24"/>
              </w:rPr>
              <w:t>/</w:t>
            </w:r>
            <w:r>
              <w:rPr>
                <w:rFonts w:hint="eastAsia" w:eastAsia="仿宋_GB2312"/>
                <w:kern w:val="2"/>
                <w:sz w:val="24"/>
                <w:szCs w:val="24"/>
              </w:rPr>
              <w:t>经济开发区）</w:t>
            </w:r>
          </w:p>
          <w:p>
            <w:pPr>
              <w:pStyle w:val="25"/>
              <w:keepNext w:val="0"/>
              <w:keepLines w:val="0"/>
              <w:pageBreakBefore w:val="0"/>
              <w:kinsoku/>
              <w:wordWrap/>
              <w:overflowPunct/>
              <w:topLinePunct w:val="0"/>
              <w:autoSpaceDE/>
              <w:autoSpaceDN/>
              <w:bidi w:val="0"/>
              <w:adjustRightInd/>
              <w:snapToGrid/>
              <w:spacing w:line="340" w:lineRule="exact"/>
              <w:textAlignment w:val="auto"/>
              <w:rPr>
                <w:rFonts w:eastAsia="仿宋_GB2312"/>
                <w:kern w:val="2"/>
                <w:sz w:val="24"/>
                <w:szCs w:val="24"/>
              </w:rPr>
            </w:pPr>
            <w:r>
              <w:rPr>
                <w:rFonts w:hint="eastAsia" w:eastAsia="仿宋_GB2312"/>
                <w:kern w:val="2"/>
                <w:sz w:val="24"/>
                <w:szCs w:val="24"/>
              </w:rPr>
              <w:t>□其他相关行业部门：主要涉及：</w:t>
            </w:r>
            <w:r>
              <w:rPr>
                <w:rFonts w:hint="eastAsia" w:eastAsia="仿宋_GB2312"/>
                <w:kern w:val="2"/>
                <w:sz w:val="24"/>
                <w:szCs w:val="24"/>
                <w:u w:val="single"/>
              </w:rPr>
              <w:t xml:space="preserve">                         等   </w:t>
            </w:r>
            <w:r>
              <w:rPr>
                <w:rFonts w:hint="eastAsia" w:eastAsia="仿宋_GB2312"/>
                <w:kern w:val="2"/>
                <w:sz w:val="24"/>
                <w:szCs w:val="24"/>
              </w:rPr>
              <w:t>个部门或下属事业单位。</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eastAsia="宋体"/>
                <w:sz w:val="24"/>
                <w:szCs w:val="24"/>
              </w:rPr>
            </w:pPr>
            <w:r>
              <w:rPr>
                <w:rFonts w:hint="eastAsia"/>
                <w:sz w:val="24"/>
                <w:szCs w:val="24"/>
              </w:rPr>
              <w:t>□专业标技委 □行业协会 □科研机构 □检验检测机构 □大专院校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007" w:type="dxa"/>
            <w:vMerge w:val="continue"/>
            <w:vAlign w:val="center"/>
          </w:tcPr>
          <w:p>
            <w:pPr>
              <w:keepNext w:val="0"/>
              <w:keepLines w:val="0"/>
              <w:pageBreakBefore w:val="0"/>
              <w:kinsoku/>
              <w:wordWrap/>
              <w:overflowPunct/>
              <w:topLinePunct w:val="0"/>
              <w:autoSpaceDE/>
              <w:autoSpaceDN/>
              <w:bidi w:val="0"/>
              <w:adjustRightInd/>
              <w:snapToGrid/>
              <w:spacing w:before="190" w:beforeLines="50" w:after="190" w:afterLines="50" w:line="340" w:lineRule="exact"/>
              <w:jc w:val="center"/>
              <w:textAlignment w:val="auto"/>
              <w:rPr>
                <w:rFonts w:ascii="黑体" w:hAnsi="黑体" w:eastAsia="黑体"/>
                <w:sz w:val="32"/>
                <w:szCs w:val="32"/>
              </w:rPr>
            </w:pPr>
          </w:p>
        </w:tc>
        <w:tc>
          <w:tcPr>
            <w:tcW w:w="13750" w:type="dxa"/>
            <w:vAlign w:val="center"/>
          </w:tcPr>
          <w:p>
            <w:pPr>
              <w:pStyle w:val="25"/>
              <w:keepNext w:val="0"/>
              <w:keepLines w:val="0"/>
              <w:pageBreakBefore w:val="0"/>
              <w:kinsoku/>
              <w:wordWrap/>
              <w:overflowPunct/>
              <w:topLinePunct w:val="0"/>
              <w:autoSpaceDE/>
              <w:autoSpaceDN/>
              <w:bidi w:val="0"/>
              <w:adjustRightInd/>
              <w:snapToGrid/>
              <w:spacing w:line="340" w:lineRule="exact"/>
              <w:textAlignment w:val="auto"/>
              <w:rPr>
                <w:sz w:val="24"/>
                <w:szCs w:val="24"/>
              </w:rPr>
            </w:pPr>
            <w:r>
              <w:rPr>
                <w:rFonts w:hint="eastAsia" w:eastAsia="仿宋_GB2312"/>
                <w:kern w:val="2"/>
                <w:sz w:val="24"/>
                <w:szCs w:val="24"/>
              </w:rPr>
              <w:t>（2）县级行业领域相关部门（单位）：</w:t>
            </w:r>
          </w:p>
          <w:p>
            <w:pPr>
              <w:pStyle w:val="25"/>
              <w:keepNext w:val="0"/>
              <w:keepLines w:val="0"/>
              <w:pageBreakBefore w:val="0"/>
              <w:kinsoku/>
              <w:wordWrap/>
              <w:overflowPunct/>
              <w:topLinePunct w:val="0"/>
              <w:autoSpaceDE/>
              <w:autoSpaceDN/>
              <w:bidi w:val="0"/>
              <w:adjustRightInd/>
              <w:snapToGrid/>
              <w:spacing w:line="340" w:lineRule="exact"/>
              <w:textAlignment w:val="auto"/>
              <w:rPr>
                <w:sz w:val="24"/>
                <w:szCs w:val="24"/>
                <w:u w:val="single"/>
              </w:rPr>
            </w:pPr>
            <w:r>
              <w:rPr>
                <w:rFonts w:hint="eastAsia" w:eastAsia="仿宋_GB2312"/>
                <w:sz w:val="24"/>
                <w:szCs w:val="24"/>
              </w:rPr>
              <w:sym w:font="Wingdings 2" w:char="F0A3"/>
            </w:r>
            <w:r>
              <w:rPr>
                <w:rFonts w:hint="eastAsia" w:eastAsia="仿宋_GB2312"/>
                <w:kern w:val="2"/>
                <w:sz w:val="24"/>
                <w:szCs w:val="24"/>
              </w:rPr>
              <w:t>县域地区个数</w:t>
            </w:r>
            <w:r>
              <w:rPr>
                <w:rFonts w:hint="eastAsia"/>
                <w:sz w:val="24"/>
                <w:szCs w:val="24"/>
                <w:u w:val="single"/>
              </w:rPr>
              <w:t xml:space="preserve">    </w:t>
            </w:r>
          </w:p>
          <w:p>
            <w:pPr>
              <w:pStyle w:val="25"/>
              <w:keepNext w:val="0"/>
              <w:keepLines w:val="0"/>
              <w:pageBreakBefore w:val="0"/>
              <w:kinsoku/>
              <w:wordWrap/>
              <w:overflowPunct/>
              <w:topLinePunct w:val="0"/>
              <w:autoSpaceDE/>
              <w:autoSpaceDN/>
              <w:bidi w:val="0"/>
              <w:adjustRightInd/>
              <w:snapToGrid/>
              <w:spacing w:line="340" w:lineRule="exact"/>
              <w:textAlignment w:val="auto"/>
              <w:rPr>
                <w:rFonts w:eastAsia="仿宋_GB2312"/>
                <w:kern w:val="2"/>
                <w:sz w:val="24"/>
                <w:szCs w:val="24"/>
              </w:rPr>
            </w:pPr>
            <w:r>
              <w:rPr>
                <w:rFonts w:hint="eastAsia" w:eastAsia="仿宋_GB2312"/>
                <w:kern w:val="2"/>
                <w:sz w:val="24"/>
                <w:szCs w:val="24"/>
              </w:rPr>
              <w:t>□县级</w:t>
            </w:r>
            <w:r>
              <w:rPr>
                <w:rFonts w:hint="eastAsia" w:eastAsia="仿宋_GB2312"/>
                <w:kern w:val="2"/>
                <w:sz w:val="24"/>
                <w:szCs w:val="24"/>
                <w:u w:val="single"/>
              </w:rPr>
              <w:t xml:space="preserve">    </w:t>
            </w:r>
            <w:r>
              <w:rPr>
                <w:rFonts w:hint="eastAsia" w:eastAsia="仿宋_GB2312"/>
                <w:kern w:val="2"/>
                <w:sz w:val="24"/>
                <w:szCs w:val="24"/>
              </w:rPr>
              <w:t>行业主管（</w:t>
            </w:r>
            <w:r>
              <w:rPr>
                <w:rFonts w:hint="eastAsia" w:eastAsia="仿宋_GB2312"/>
                <w:kern w:val="2"/>
                <w:sz w:val="24"/>
                <w:szCs w:val="24"/>
                <w:u w:val="single"/>
              </w:rPr>
              <w:t>归口</w:t>
            </w:r>
            <w:r>
              <w:rPr>
                <w:rFonts w:hint="eastAsia" w:eastAsia="仿宋_GB2312"/>
                <w:kern w:val="2"/>
                <w:sz w:val="24"/>
                <w:szCs w:val="24"/>
              </w:rPr>
              <w:t>）部门：主要涉及：</w:t>
            </w:r>
            <w:r>
              <w:rPr>
                <w:rFonts w:hint="eastAsia" w:eastAsia="仿宋_GB2312"/>
                <w:kern w:val="2"/>
                <w:sz w:val="24"/>
                <w:szCs w:val="24"/>
                <w:u w:val="single"/>
              </w:rPr>
              <w:t xml:space="preserve">                         等   </w:t>
            </w:r>
            <w:r>
              <w:rPr>
                <w:rFonts w:hint="eastAsia" w:eastAsia="仿宋_GB2312"/>
                <w:kern w:val="2"/>
                <w:sz w:val="24"/>
                <w:szCs w:val="24"/>
              </w:rPr>
              <w:t>个相关业务科室或下属事业单位；</w:t>
            </w:r>
          </w:p>
          <w:p>
            <w:pPr>
              <w:pStyle w:val="25"/>
              <w:keepNext w:val="0"/>
              <w:keepLines w:val="0"/>
              <w:pageBreakBefore w:val="0"/>
              <w:kinsoku/>
              <w:wordWrap/>
              <w:overflowPunct/>
              <w:topLinePunct w:val="0"/>
              <w:autoSpaceDE/>
              <w:autoSpaceDN/>
              <w:bidi w:val="0"/>
              <w:adjustRightInd/>
              <w:snapToGrid/>
              <w:spacing w:line="340" w:lineRule="exact"/>
              <w:textAlignment w:val="auto"/>
              <w:rPr>
                <w:rFonts w:eastAsia="仿宋_GB2312"/>
                <w:kern w:val="2"/>
                <w:sz w:val="24"/>
                <w:szCs w:val="24"/>
              </w:rPr>
            </w:pPr>
            <w:r>
              <w:rPr>
                <w:rFonts w:hint="eastAsia" w:eastAsia="仿宋_GB2312"/>
                <w:kern w:val="2"/>
                <w:sz w:val="24"/>
                <w:szCs w:val="24"/>
              </w:rPr>
              <w:t>□其他相关行业部门：主要涉及：</w:t>
            </w:r>
            <w:r>
              <w:rPr>
                <w:rFonts w:hint="eastAsia" w:eastAsia="仿宋_GB2312"/>
                <w:kern w:val="2"/>
                <w:sz w:val="24"/>
                <w:szCs w:val="24"/>
                <w:u w:val="single"/>
              </w:rPr>
              <w:t xml:space="preserve">                         等   </w:t>
            </w:r>
            <w:r>
              <w:rPr>
                <w:rFonts w:hint="eastAsia" w:eastAsia="仿宋_GB2312"/>
                <w:kern w:val="2"/>
                <w:sz w:val="24"/>
                <w:szCs w:val="24"/>
              </w:rPr>
              <w:t>个部门或下属事业单位。</w:t>
            </w:r>
          </w:p>
          <w:p>
            <w:pPr>
              <w:pStyle w:val="25"/>
              <w:keepNext w:val="0"/>
              <w:keepLines w:val="0"/>
              <w:pageBreakBefore w:val="0"/>
              <w:kinsoku/>
              <w:wordWrap/>
              <w:overflowPunct/>
              <w:topLinePunct w:val="0"/>
              <w:autoSpaceDE/>
              <w:autoSpaceDN/>
              <w:bidi w:val="0"/>
              <w:adjustRightInd/>
              <w:snapToGrid/>
              <w:spacing w:line="340" w:lineRule="exact"/>
              <w:textAlignment w:val="auto"/>
              <w:rPr>
                <w:rFonts w:eastAsia="仿宋_GB2312"/>
                <w:kern w:val="2"/>
                <w:sz w:val="24"/>
                <w:szCs w:val="24"/>
              </w:rPr>
            </w:pPr>
            <w:r>
              <w:rPr>
                <w:rFonts w:hint="eastAsia" w:eastAsia="仿宋_GB2312"/>
                <w:kern w:val="2"/>
                <w:sz w:val="24"/>
                <w:szCs w:val="24"/>
              </w:rPr>
              <w:t>□专业标技委 □行业协会 □科研机构 □检验检测机构 □大专院校</w:t>
            </w:r>
          </w:p>
          <w:p>
            <w:pPr>
              <w:pStyle w:val="25"/>
              <w:keepNext w:val="0"/>
              <w:keepLines w:val="0"/>
              <w:pageBreakBefore w:val="0"/>
              <w:kinsoku/>
              <w:wordWrap/>
              <w:overflowPunct/>
              <w:topLinePunct w:val="0"/>
              <w:autoSpaceDE/>
              <w:autoSpaceDN/>
              <w:bidi w:val="0"/>
              <w:adjustRightInd/>
              <w:snapToGrid/>
              <w:spacing w:line="340" w:lineRule="exact"/>
              <w:textAlignment w:val="auto"/>
              <w:rPr>
                <w:rFonts w:eastAsia="仿宋_GB2312"/>
                <w:kern w:val="2"/>
                <w:sz w:val="24"/>
                <w:szCs w:val="24"/>
              </w:rPr>
            </w:pPr>
            <w:r>
              <w:rPr>
                <w:rFonts w:hint="eastAsia" w:eastAsia="仿宋_GB2312"/>
                <w:kern w:val="2"/>
                <w:sz w:val="24"/>
                <w:szCs w:val="24"/>
              </w:rPr>
              <w:t>（3）标准相关利益方：</w:t>
            </w:r>
          </w:p>
          <w:p>
            <w:pPr>
              <w:keepNext w:val="0"/>
              <w:keepLines w:val="0"/>
              <w:pageBreakBefore w:val="0"/>
              <w:kinsoku/>
              <w:wordWrap/>
              <w:overflowPunct/>
              <w:topLinePunct w:val="0"/>
              <w:autoSpaceDE/>
              <w:autoSpaceDN/>
              <w:bidi w:val="0"/>
              <w:adjustRightInd/>
              <w:snapToGrid/>
              <w:spacing w:line="340" w:lineRule="exact"/>
              <w:textAlignment w:val="auto"/>
              <w:rPr>
                <w:sz w:val="24"/>
                <w:szCs w:val="24"/>
              </w:rPr>
            </w:pPr>
            <w:r>
              <w:rPr>
                <w:rFonts w:hint="eastAsia"/>
                <w:sz w:val="24"/>
                <w:szCs w:val="24"/>
              </w:rPr>
              <w:t>□生产单位 □技术单位 □销售单位 □经营单位 □管理单位 □服务单位</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eastAsia="宋体"/>
                <w:sz w:val="24"/>
                <w:szCs w:val="24"/>
              </w:rPr>
            </w:pPr>
            <w:r>
              <w:rPr>
                <w:rFonts w:hint="eastAsia"/>
                <w:sz w:val="24"/>
                <w:szCs w:val="24"/>
              </w:rPr>
              <w:t>□应用单位（使用单位）□评价单位 □其他单位</w:t>
            </w:r>
            <w:r>
              <w:rPr>
                <w:rFonts w:hint="eastAsia" w:ascii="仿宋_GB2312" w:hAnsi="宋体"/>
                <w:sz w:val="24"/>
                <w:szCs w:val="24"/>
              </w:rPr>
              <w:t xml:space="preserve">  </w:t>
            </w:r>
          </w:p>
        </w:tc>
      </w:tr>
    </w:tbl>
    <w:p>
      <w:pPr>
        <w:pStyle w:val="2"/>
        <w:widowControl w:val="0"/>
        <w:numPr>
          <w:ilvl w:val="0"/>
          <w:numId w:val="0"/>
        </w:numPr>
        <w:spacing w:line="360" w:lineRule="exact"/>
        <w:jc w:val="both"/>
      </w:pPr>
    </w:p>
    <w:sectPr>
      <w:pgSz w:w="16838" w:h="11906" w:orient="landscape"/>
      <w:pgMar w:top="720" w:right="720" w:bottom="720" w:left="720" w:header="851" w:footer="992" w:gutter="0"/>
      <w:pgNumType w:fmt="decimal"/>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0Q131ywEAAJwDAAAOAAAA&#10;AAAAAAEAIAAAADQBAABkcnMvZTJvRG9jLnhtbFBLBQYAAAAABgAGAFkBAABxBQAAAAA=&#10;">
              <v:fill on="f" focussize="0,0"/>
              <v:stroke on="f"/>
              <v:imagedata o:title=""/>
              <o:lock v:ext="edit" aspectratio="f"/>
              <v:textbox inset="0mm,0mm,0mm,0mm" style="mso-fit-shape-to-text:t;">
                <w:txbxContent>
                  <w:p>
                    <w:pPr>
                      <w:pStyle w:val="8"/>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27B26"/>
    <w:multiLevelType w:val="multilevel"/>
    <w:tmpl w:val="04E27B26"/>
    <w:lvl w:ilvl="0" w:tentative="0">
      <w:start w:val="1"/>
      <w:numFmt w:val="japaneseCounting"/>
      <w:lvlText w:val="（%1）"/>
      <w:lvlJc w:val="left"/>
      <w:pPr>
        <w:ind w:left="1647" w:hanging="108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07450A6B"/>
    <w:multiLevelType w:val="multilevel"/>
    <w:tmpl w:val="07450A6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20132009"/>
    <w:multiLevelType w:val="multilevel"/>
    <w:tmpl w:val="20132009"/>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2CE21E4B"/>
    <w:multiLevelType w:val="multilevel"/>
    <w:tmpl w:val="2CE21E4B"/>
    <w:lvl w:ilvl="0" w:tentative="0">
      <w:start w:val="1"/>
      <w:numFmt w:val="chineseCountingThousand"/>
      <w:suff w:val="nothing"/>
      <w:lvlText w:val="%1、"/>
      <w:lvlJc w:val="left"/>
      <w:pPr>
        <w:ind w:left="1287"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3FA53ACA"/>
    <w:multiLevelType w:val="singleLevel"/>
    <w:tmpl w:val="3FA53ACA"/>
    <w:lvl w:ilvl="0" w:tentative="0">
      <w:start w:val="2"/>
      <w:numFmt w:val="decimal"/>
      <w:suff w:val="space"/>
      <w:lvlText w:val="%1."/>
      <w:lvlJc w:val="left"/>
      <w:pPr>
        <w:ind w:left="1600" w:leftChars="0" w:firstLine="0" w:firstLineChars="0"/>
      </w:pPr>
    </w:lvl>
  </w:abstractNum>
  <w:abstractNum w:abstractNumId="5">
    <w:nsid w:val="49C606FE"/>
    <w:multiLevelType w:val="multilevel"/>
    <w:tmpl w:val="49C606FE"/>
    <w:lvl w:ilvl="0" w:tentative="0">
      <w:start w:val="1"/>
      <w:numFmt w:val="japaneseCounting"/>
      <w:lvlText w:val="（%1）"/>
      <w:lvlJc w:val="left"/>
      <w:pPr>
        <w:ind w:left="1647" w:hanging="108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655A081F"/>
    <w:multiLevelType w:val="multilevel"/>
    <w:tmpl w:val="655A081F"/>
    <w:lvl w:ilvl="0" w:tentative="0">
      <w:start w:val="1"/>
      <w:numFmt w:val="japaneseCounting"/>
      <w:lvlText w:val="（%1）"/>
      <w:lvlJc w:val="left"/>
      <w:pPr>
        <w:ind w:left="1647" w:hanging="108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96"/>
    <w:rsid w:val="00171031"/>
    <w:rsid w:val="0023572F"/>
    <w:rsid w:val="00247E1D"/>
    <w:rsid w:val="00254598"/>
    <w:rsid w:val="00305E05"/>
    <w:rsid w:val="00306665"/>
    <w:rsid w:val="003406A6"/>
    <w:rsid w:val="003862B6"/>
    <w:rsid w:val="00424416"/>
    <w:rsid w:val="00477656"/>
    <w:rsid w:val="0051210A"/>
    <w:rsid w:val="005B6D39"/>
    <w:rsid w:val="00610396"/>
    <w:rsid w:val="0067024E"/>
    <w:rsid w:val="007776AB"/>
    <w:rsid w:val="008065B3"/>
    <w:rsid w:val="0084554A"/>
    <w:rsid w:val="008939CA"/>
    <w:rsid w:val="008A6B3B"/>
    <w:rsid w:val="008C62F0"/>
    <w:rsid w:val="009C6E0E"/>
    <w:rsid w:val="00A020AB"/>
    <w:rsid w:val="00A27511"/>
    <w:rsid w:val="00AB1792"/>
    <w:rsid w:val="00AB1E4B"/>
    <w:rsid w:val="00B13C6B"/>
    <w:rsid w:val="00B944FA"/>
    <w:rsid w:val="00BB11F7"/>
    <w:rsid w:val="00BD72B1"/>
    <w:rsid w:val="00C74610"/>
    <w:rsid w:val="00C859B8"/>
    <w:rsid w:val="00DD199E"/>
    <w:rsid w:val="00E42189"/>
    <w:rsid w:val="00E43667"/>
    <w:rsid w:val="00EC6808"/>
    <w:rsid w:val="00FC3EC8"/>
    <w:rsid w:val="00FD4B99"/>
    <w:rsid w:val="06256FA3"/>
    <w:rsid w:val="285A5748"/>
    <w:rsid w:val="356FB085"/>
    <w:rsid w:val="39537CB4"/>
    <w:rsid w:val="3AC63721"/>
    <w:rsid w:val="3E570BDA"/>
    <w:rsid w:val="3E5F400D"/>
    <w:rsid w:val="3FC84838"/>
    <w:rsid w:val="41024EC1"/>
    <w:rsid w:val="4C9F663F"/>
    <w:rsid w:val="4FBF47D3"/>
    <w:rsid w:val="53F10212"/>
    <w:rsid w:val="58DE293D"/>
    <w:rsid w:val="5C464AF3"/>
    <w:rsid w:val="5D276ADD"/>
    <w:rsid w:val="67FD1705"/>
    <w:rsid w:val="76E16CB2"/>
    <w:rsid w:val="79BF2DBA"/>
    <w:rsid w:val="7A95203B"/>
    <w:rsid w:val="AF7673ED"/>
    <w:rsid w:val="DBFF6660"/>
    <w:rsid w:val="FAF9E2CD"/>
    <w:rsid w:val="FBF7C306"/>
    <w:rsid w:val="FEB2CB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exact"/>
    </w:pPr>
    <w:rPr>
      <w:sz w:val="24"/>
    </w:rPr>
  </w:style>
  <w:style w:type="paragraph" w:styleId="5">
    <w:name w:val="Document Map"/>
    <w:basedOn w:val="1"/>
    <w:link w:val="23"/>
    <w:semiHidden/>
    <w:unhideWhenUsed/>
    <w:qFormat/>
    <w:uiPriority w:val="99"/>
    <w:rPr>
      <w:rFonts w:ascii="宋体" w:eastAsia="宋体"/>
      <w:sz w:val="18"/>
      <w:szCs w:val="18"/>
    </w:rPr>
  </w:style>
  <w:style w:type="paragraph" w:styleId="6">
    <w:name w:val="annotation text"/>
    <w:basedOn w:val="1"/>
    <w:link w:val="21"/>
    <w:semiHidden/>
    <w:unhideWhenUsed/>
    <w:qFormat/>
    <w:uiPriority w:val="99"/>
    <w:pPr>
      <w:jc w:val="left"/>
    </w:pPr>
  </w:style>
  <w:style w:type="paragraph" w:styleId="7">
    <w:name w:val="Balloon Text"/>
    <w:basedOn w:val="1"/>
    <w:link w:val="22"/>
    <w:semiHidden/>
    <w:unhideWhenUsed/>
    <w:qFormat/>
    <w:uiPriority w:val="99"/>
    <w:rPr>
      <w:sz w:val="18"/>
      <w:szCs w:val="18"/>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rPr>
      <w:rFonts w:ascii="宋体"/>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link w:val="26"/>
    <w:qFormat/>
    <w:uiPriority w:val="10"/>
    <w:pPr>
      <w:jc w:val="center"/>
      <w:outlineLvl w:val="0"/>
    </w:pPr>
    <w:rPr>
      <w:rFonts w:ascii="方正小标宋简体" w:hAnsi="Calibri" w:eastAsia="方正小标宋简体" w:cs="宋体"/>
      <w:bCs/>
      <w:sz w:val="44"/>
      <w:szCs w:val="44"/>
      <w:lang w:val="en-US" w:eastAsia="zh-CN" w:bidi="ar-SA"/>
    </w:rPr>
  </w:style>
  <w:style w:type="paragraph" w:styleId="13">
    <w:name w:val="annotation subject"/>
    <w:basedOn w:val="6"/>
    <w:next w:val="6"/>
    <w:link w:val="24"/>
    <w:semiHidden/>
    <w:unhideWhenUsed/>
    <w:qFormat/>
    <w:uiPriority w:val="99"/>
    <w:rPr>
      <w:b/>
      <w:bCs/>
    </w:rPr>
  </w:style>
  <w:style w:type="paragraph" w:styleId="14">
    <w:name w:val="Body Text First Indent"/>
    <w:basedOn w:val="2"/>
    <w:qFormat/>
    <w:uiPriority w:val="0"/>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table" w:styleId="16">
    <w:name w:val="Table Grid"/>
    <w:basedOn w:val="15"/>
    <w:qFormat/>
    <w:uiPriority w:val="59"/>
    <w:rPr>
      <w:rFonts w:ascii="Times New Roman" w:hAnsi="Times New Roman" w:eastAsia="仿宋_GB2312"/>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annotation reference"/>
    <w:basedOn w:val="17"/>
    <w:semiHidden/>
    <w:unhideWhenUsed/>
    <w:qFormat/>
    <w:uiPriority w:val="99"/>
    <w:rPr>
      <w:sz w:val="21"/>
      <w:szCs w:val="21"/>
    </w:rPr>
  </w:style>
  <w:style w:type="paragraph" w:styleId="20">
    <w:name w:val="List Paragraph"/>
    <w:basedOn w:val="1"/>
    <w:qFormat/>
    <w:uiPriority w:val="34"/>
    <w:pPr>
      <w:ind w:firstLine="420" w:firstLineChars="200"/>
    </w:pPr>
  </w:style>
  <w:style w:type="character" w:customStyle="1" w:styleId="21">
    <w:name w:val="批注文字 字符"/>
    <w:basedOn w:val="17"/>
    <w:link w:val="6"/>
    <w:semiHidden/>
    <w:qFormat/>
    <w:uiPriority w:val="99"/>
  </w:style>
  <w:style w:type="character" w:customStyle="1" w:styleId="22">
    <w:name w:val="批注框文本 字符"/>
    <w:basedOn w:val="17"/>
    <w:link w:val="7"/>
    <w:semiHidden/>
    <w:qFormat/>
    <w:uiPriority w:val="99"/>
    <w:rPr>
      <w:sz w:val="18"/>
      <w:szCs w:val="18"/>
    </w:rPr>
  </w:style>
  <w:style w:type="character" w:customStyle="1" w:styleId="23">
    <w:name w:val="文档结构图 字符"/>
    <w:basedOn w:val="17"/>
    <w:link w:val="5"/>
    <w:semiHidden/>
    <w:qFormat/>
    <w:uiPriority w:val="99"/>
    <w:rPr>
      <w:rFonts w:ascii="宋体" w:eastAsia="宋体"/>
      <w:sz w:val="18"/>
      <w:szCs w:val="18"/>
    </w:rPr>
  </w:style>
  <w:style w:type="character" w:customStyle="1" w:styleId="24">
    <w:name w:val="批注主题 字符"/>
    <w:basedOn w:val="21"/>
    <w:link w:val="13"/>
    <w:semiHidden/>
    <w:qFormat/>
    <w:uiPriority w:val="99"/>
    <w:rPr>
      <w:b/>
      <w:bCs/>
    </w:rPr>
  </w:style>
  <w:style w:type="paragraph" w:customStyle="1" w:styleId="25">
    <w:name w:val="p0"/>
    <w:basedOn w:val="1"/>
    <w:qFormat/>
    <w:uiPriority w:val="99"/>
    <w:pPr>
      <w:widowControl/>
    </w:pPr>
    <w:rPr>
      <w:rFonts w:ascii="Times New Roman" w:hAnsi="Times New Roman" w:eastAsia="宋体" w:cs="Times New Roman"/>
      <w:kern w:val="0"/>
      <w:szCs w:val="21"/>
    </w:rPr>
  </w:style>
  <w:style w:type="character" w:customStyle="1" w:styleId="26">
    <w:name w:val="标题 字符"/>
    <w:basedOn w:val="17"/>
    <w:link w:val="12"/>
    <w:qFormat/>
    <w:uiPriority w:val="10"/>
    <w:rPr>
      <w:rFonts w:ascii="方正小标宋简体" w:hAnsi="Calibri" w:eastAsia="方正小标宋简体" w:cs="宋体"/>
      <w:bCs/>
      <w:sz w:val="44"/>
      <w:szCs w:val="44"/>
      <w:lang w:val="en-US" w:eastAsia="zh-CN" w:bidi="ar-SA"/>
    </w:rPr>
  </w:style>
  <w:style w:type="paragraph" w:styleId="27">
    <w:name w:val="No Spacing"/>
    <w:qFormat/>
    <w:uiPriority w:val="1"/>
    <w:pPr>
      <w:widowControl w:val="0"/>
      <w:jc w:val="center"/>
    </w:pPr>
    <w:rPr>
      <w:rFonts w:ascii="Times New Roman" w:hAnsi="Times New Roman" w:eastAsia="仿宋_GB2312" w:cs="Times New Roman"/>
      <w:kern w:val="2"/>
      <w:sz w:val="24"/>
      <w:szCs w:val="22"/>
      <w:lang w:val="en-US" w:eastAsia="zh-CN" w:bidi="ar-SA"/>
    </w:rPr>
  </w:style>
  <w:style w:type="paragraph" w:customStyle="1" w:styleId="2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ITianKong.Com</Company>
  <Pages>28</Pages>
  <Words>1104</Words>
  <Characters>1135</Characters>
  <Lines>11</Lines>
  <Paragraphs>3</Paragraphs>
  <TotalTime>0</TotalTime>
  <ScaleCrop>false</ScaleCrop>
  <LinksUpToDate>false</LinksUpToDate>
  <CharactersWithSpaces>1242</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2020-04-30T15:04:00Z</dcterms:created>
  <dc:creator>SkyUser</dc:creator>
  <cp:lastModifiedBy>潘伊</cp:lastModifiedBy>
  <cp:lastPrinted>2025-04-10T16:51:00Z</cp:lastPrinted>
  <dcterms:modified xsi:type="dcterms:W3CDTF">2025-04-10T16:24:21Z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6911D7BBA2E64BCA9C4B72FBD9A1EEE3_13</vt:lpwstr>
  </property>
  <property fmtid="{D5CDD505-2E9C-101B-9397-08002B2CF9AE}" pid="4" name="KSOTemplateDocerSaveRecord">
    <vt:lpwstr>eyJoZGlkIjoiNzU0YzAwMmI3Yjk5MTY4NDM3ZjJhMDZjNGY4MDMxMWEiLCJ1c2VySWQiOiI1NTcxOTkzIn0=</vt:lpwstr>
  </property>
</Properties>
</file>